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6CC60" w14:textId="3839172F" w:rsidR="000611C6" w:rsidRPr="000611C6" w:rsidRDefault="000611C6" w:rsidP="000611C6">
      <w:pPr>
        <w:pStyle w:val="NoSpacing"/>
        <w:contextualSpacing/>
        <w:jc w:val="both"/>
        <w:rPr>
          <w:rFonts w:ascii="Arial" w:hAnsi="Arial" w:cs="Arial"/>
          <w:b/>
          <w:sz w:val="28"/>
          <w:szCs w:val="28"/>
          <w:lang w:val="en-GB"/>
        </w:rPr>
      </w:pPr>
      <w:r w:rsidRPr="000611C6">
        <w:rPr>
          <w:rFonts w:ascii="Arial" w:hAnsi="Arial" w:cs="Arial"/>
          <w:b/>
          <w:sz w:val="28"/>
          <w:szCs w:val="28"/>
          <w:lang w:val="en-GB"/>
        </w:rPr>
        <w:t>3GPP TSG RAN WG4 #112bis</w:t>
      </w:r>
      <w:r w:rsidRPr="000611C6">
        <w:rPr>
          <w:rFonts w:ascii="Arial" w:hAnsi="Arial" w:cs="Arial"/>
          <w:b/>
          <w:sz w:val="28"/>
          <w:szCs w:val="28"/>
          <w:lang w:val="en-GB"/>
        </w:rPr>
        <w:tab/>
      </w:r>
      <w:r w:rsidRPr="000611C6">
        <w:rPr>
          <w:rFonts w:ascii="Arial" w:hAnsi="Arial" w:cs="Arial"/>
          <w:b/>
          <w:sz w:val="28"/>
          <w:szCs w:val="28"/>
          <w:lang w:val="en-GB"/>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Pr>
          <w:rFonts w:ascii="Arial" w:hAnsi="Arial" w:cs="Arial"/>
          <w:b/>
          <w:sz w:val="28"/>
          <w:szCs w:val="28"/>
          <w:lang w:val="en-GB" w:eastAsia="zh-CN"/>
        </w:rPr>
        <w:t xml:space="preserve">     </w:t>
      </w:r>
      <w:r w:rsidR="00462E48" w:rsidRPr="00462E48">
        <w:rPr>
          <w:rFonts w:ascii="Arial" w:hAnsi="Arial" w:cs="Arial"/>
          <w:b/>
          <w:bCs/>
          <w:sz w:val="28"/>
          <w:szCs w:val="28"/>
          <w:lang w:val="en-GB"/>
        </w:rPr>
        <w:t>R4-2416396</w:t>
      </w:r>
    </w:p>
    <w:p w14:paraId="68BB5185" w14:textId="30DC67C3" w:rsidR="000611C6" w:rsidRPr="00E913CF" w:rsidRDefault="000611C6" w:rsidP="000611C6">
      <w:pPr>
        <w:pStyle w:val="NoSpacing"/>
        <w:contextualSpacing/>
        <w:jc w:val="both"/>
        <w:rPr>
          <w:rFonts w:ascii="Arial" w:hAnsi="Arial" w:cs="Arial"/>
          <w:b/>
          <w:sz w:val="28"/>
          <w:szCs w:val="28"/>
        </w:rPr>
      </w:pPr>
      <w:r>
        <w:rPr>
          <w:rFonts w:ascii="Arial" w:hAnsi="Arial" w:cs="Arial"/>
          <w:b/>
          <w:sz w:val="28"/>
          <w:szCs w:val="28"/>
        </w:rPr>
        <w:t>Hefei, CN, October 14</w:t>
      </w:r>
      <w:r w:rsidRPr="00C05EFB">
        <w:rPr>
          <w:rFonts w:ascii="Arial" w:hAnsi="Arial" w:cs="Arial"/>
          <w:b/>
          <w:sz w:val="28"/>
          <w:szCs w:val="28"/>
          <w:vertAlign w:val="superscript"/>
        </w:rPr>
        <w:t>th</w:t>
      </w:r>
      <w:r>
        <w:rPr>
          <w:rFonts w:ascii="Arial" w:hAnsi="Arial" w:cs="Arial"/>
          <w:b/>
          <w:sz w:val="28"/>
          <w:szCs w:val="28"/>
        </w:rPr>
        <w:t xml:space="preserve"> </w:t>
      </w:r>
      <w:r w:rsidRPr="00E913CF">
        <w:rPr>
          <w:rFonts w:ascii="Arial" w:hAnsi="Arial" w:cs="Arial"/>
          <w:b/>
          <w:sz w:val="28"/>
          <w:szCs w:val="28"/>
        </w:rPr>
        <w:t>–</w:t>
      </w:r>
      <w:r>
        <w:rPr>
          <w:rFonts w:ascii="Arial" w:hAnsi="Arial" w:cs="Arial"/>
          <w:b/>
          <w:sz w:val="28"/>
          <w:szCs w:val="28"/>
        </w:rPr>
        <w:t xml:space="preserve"> 18</w:t>
      </w:r>
      <w:r>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4</w:t>
      </w:r>
    </w:p>
    <w:p w14:paraId="75334291" w14:textId="77777777" w:rsidR="000611C6" w:rsidRPr="000D3066" w:rsidRDefault="000611C6" w:rsidP="000611C6">
      <w:pPr>
        <w:pStyle w:val="NoSpacing"/>
        <w:contextualSpacing/>
        <w:jc w:val="both"/>
        <w:rPr>
          <w:rFonts w:ascii="Arial" w:hAnsi="Arial" w:cs="Arial"/>
          <w:b/>
          <w:sz w:val="24"/>
          <w:szCs w:val="24"/>
          <w:lang w:eastAsia="zh-CN"/>
        </w:rPr>
      </w:pPr>
    </w:p>
    <w:p w14:paraId="4A8D9A0E" w14:textId="77777777" w:rsidR="000611C6" w:rsidRPr="000D3066" w:rsidRDefault="000611C6" w:rsidP="000611C6">
      <w:pPr>
        <w:pStyle w:val="NoSpacing"/>
        <w:contextualSpacing/>
        <w:jc w:val="both"/>
        <w:rPr>
          <w:rFonts w:ascii="Arial" w:hAnsi="Arial" w:cs="Arial"/>
          <w:b/>
          <w:sz w:val="24"/>
          <w:szCs w:val="24"/>
          <w:lang w:eastAsia="zh-CN"/>
        </w:rPr>
      </w:pPr>
    </w:p>
    <w:p w14:paraId="355BDBC9" w14:textId="7F079E2A" w:rsidR="000611C6" w:rsidRPr="000D3066" w:rsidRDefault="000611C6" w:rsidP="000611C6">
      <w:pPr>
        <w:pStyle w:val="NoSpacing"/>
        <w:contextualSpacing/>
        <w:jc w:val="both"/>
        <w:rPr>
          <w:rFonts w:ascii="Arial"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DC72AB" w:rsidRPr="00DC72AB">
        <w:rPr>
          <w:rFonts w:ascii="Arial" w:hAnsi="Arial" w:cs="Arial"/>
          <w:b/>
          <w:sz w:val="24"/>
          <w:szCs w:val="24"/>
        </w:rPr>
        <w:t>6.8.2.1</w:t>
      </w:r>
    </w:p>
    <w:p w14:paraId="200B798D" w14:textId="2AB32E9D" w:rsidR="000611C6" w:rsidRPr="0052022F" w:rsidRDefault="000611C6" w:rsidP="000611C6">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Pr>
          <w:rFonts w:ascii="Arial" w:hAnsi="Arial" w:cs="Arial"/>
          <w:b/>
          <w:sz w:val="24"/>
          <w:szCs w:val="24"/>
        </w:rPr>
        <w:t>Inmarsat</w:t>
      </w:r>
      <w:r w:rsidR="00747942">
        <w:rPr>
          <w:rFonts w:ascii="Arial" w:hAnsi="Arial" w:cs="Arial"/>
          <w:b/>
          <w:sz w:val="24"/>
          <w:szCs w:val="24"/>
        </w:rPr>
        <w:t>, Viasat</w:t>
      </w:r>
    </w:p>
    <w:p w14:paraId="7342CD4B" w14:textId="0FEF0376" w:rsidR="000611C6"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462E48" w:rsidRPr="00462E48">
        <w:rPr>
          <w:rFonts w:ascii="Arial" w:hAnsi="Arial" w:cs="Arial"/>
          <w:b/>
          <w:sz w:val="24"/>
          <w:szCs w:val="24"/>
          <w:lang w:val="en-GB"/>
        </w:rPr>
        <w:t>Key aspects on HPUE for NTN</w:t>
      </w:r>
    </w:p>
    <w:p w14:paraId="64CAA37D" w14:textId="1228682B" w:rsidR="000611C6" w:rsidRPr="007B491C"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Pr>
          <w:rFonts w:ascii="Arial" w:hAnsi="Arial" w:cs="Arial"/>
          <w:b/>
          <w:sz w:val="24"/>
          <w:szCs w:val="24"/>
        </w:rPr>
        <w:t>Discussion</w:t>
      </w:r>
      <w:r w:rsidR="00462E48">
        <w:rPr>
          <w:rFonts w:ascii="Arial" w:hAnsi="Arial" w:cs="Arial"/>
          <w:b/>
          <w:sz w:val="24"/>
          <w:szCs w:val="24"/>
        </w:rPr>
        <w:t xml:space="preserve"> and Decision</w:t>
      </w:r>
    </w:p>
    <w:p w14:paraId="4CEEEC51" w14:textId="77777777" w:rsidR="000611C6" w:rsidRDefault="000611C6" w:rsidP="000611C6"/>
    <w:p w14:paraId="04ECCD93" w14:textId="77777777" w:rsidR="000611C6" w:rsidRDefault="000611C6" w:rsidP="000611C6">
      <w:pPr>
        <w:pStyle w:val="Heading1"/>
        <w:numPr>
          <w:ilvl w:val="0"/>
          <w:numId w:val="1"/>
        </w:numPr>
        <w:tabs>
          <w:tab w:val="num" w:pos="360"/>
        </w:tabs>
        <w:spacing w:before="0" w:after="240"/>
        <w:ind w:left="1134" w:hanging="1134"/>
        <w:jc w:val="both"/>
        <w:rPr>
          <w:rFonts w:cs="Arial"/>
          <w:smallCaps/>
          <w:lang w:val="en-US"/>
        </w:rPr>
      </w:pPr>
      <w:r w:rsidRPr="00E913CF">
        <w:rPr>
          <w:rFonts w:cs="Arial"/>
          <w:smallCaps/>
          <w:lang w:val="en-US"/>
        </w:rPr>
        <w:t>Background</w:t>
      </w:r>
    </w:p>
    <w:p w14:paraId="42BF4FA2" w14:textId="36853DD6" w:rsidR="000611C6" w:rsidRDefault="00F61AF1" w:rsidP="00F61AF1">
      <w:r>
        <w:t>The intent of this paper is to provide</w:t>
      </w:r>
      <w:r w:rsidR="00F71F80">
        <w:t xml:space="preserve"> </w:t>
      </w:r>
      <w:r w:rsidR="00E50AEF">
        <w:t>information</w:t>
      </w:r>
      <w:r w:rsidR="00BA592C">
        <w:t xml:space="preserve"> </w:t>
      </w:r>
      <w:r w:rsidR="00E50AEF">
        <w:t xml:space="preserve">on NTN </w:t>
      </w:r>
      <w:r w:rsidR="00BA592C">
        <w:t xml:space="preserve">HPUE </w:t>
      </w:r>
      <w:r w:rsidR="002D71FF">
        <w:t>and guide the definition of the general framework of operation that in our view is common to the vast majority (or all) of the existing NTN bands</w:t>
      </w:r>
      <w:r w:rsidR="00C12A23">
        <w:t>,</w:t>
      </w:r>
      <w:r w:rsidR="008B7A80">
        <w:t xml:space="preserve"> </w:t>
      </w:r>
      <w:r w:rsidR="00C12A23">
        <w:t>to provide some thoughts and rationale on a methodology by which certain RF performance metrics can be derived</w:t>
      </w:r>
      <w:r w:rsidR="008B7A80">
        <w:t xml:space="preserve"> and to provide input on coexistence scenario parameters.</w:t>
      </w:r>
    </w:p>
    <w:p w14:paraId="75C7F554" w14:textId="0905FFB0" w:rsidR="00547BBA" w:rsidRPr="00F61AF1" w:rsidRDefault="00547BBA" w:rsidP="00F61AF1">
      <w:r>
        <w:t>In general we do not think that TN-NTN coexistence alone is sufficient in order to define the NTN HPUE general parameters such as SEM, ACLR, ACS, etc.</w:t>
      </w:r>
    </w:p>
    <w:p w14:paraId="405EE0E1" w14:textId="37E21F61" w:rsidR="000611C6" w:rsidRDefault="00C12A23" w:rsidP="000611C6">
      <w:pPr>
        <w:pStyle w:val="Heading1"/>
        <w:numPr>
          <w:ilvl w:val="0"/>
          <w:numId w:val="1"/>
        </w:numPr>
        <w:tabs>
          <w:tab w:val="num" w:pos="360"/>
        </w:tabs>
        <w:spacing w:before="0" w:after="240"/>
        <w:ind w:left="1134" w:hanging="1134"/>
        <w:jc w:val="both"/>
        <w:rPr>
          <w:rFonts w:cs="Arial"/>
          <w:smallCaps/>
          <w:lang w:val="en-US"/>
        </w:rPr>
      </w:pPr>
      <w:r>
        <w:rPr>
          <w:rFonts w:cs="Arial"/>
          <w:smallCaps/>
          <w:lang w:val="en-US"/>
        </w:rPr>
        <w:t xml:space="preserve">Regulatory </w:t>
      </w:r>
      <w:r w:rsidR="00E36340">
        <w:rPr>
          <w:rFonts w:cs="Arial"/>
          <w:smallCaps/>
          <w:lang w:val="en-US"/>
        </w:rPr>
        <w:t>Information</w:t>
      </w:r>
    </w:p>
    <w:p w14:paraId="3AF9D9B8" w14:textId="62D22DBD" w:rsidR="001666BD" w:rsidRPr="001666BD" w:rsidRDefault="001666BD" w:rsidP="001666BD">
      <w:r w:rsidRPr="001666BD">
        <w:t>Th</w:t>
      </w:r>
      <w:r w:rsidR="007F7674">
        <w:t>is section describes the regulatory information associated with bands</w:t>
      </w:r>
      <w:r w:rsidR="002213A3">
        <w:t xml:space="preserve"> 253,</w:t>
      </w:r>
      <w:r w:rsidR="007F7674">
        <w:t xml:space="preserve"> 255 and band 256</w:t>
      </w:r>
      <w:r w:rsidR="002213A3">
        <w:t>. For NB-IoT band 253 has been defined as extended L-band (UL = 1668-1675MHz, DL = 1518-1525MHz), band 253 is in the process of being defined for NR</w:t>
      </w:r>
      <w:r w:rsidR="00F95634">
        <w:t xml:space="preserve"> with the same band number. </w:t>
      </w:r>
    </w:p>
    <w:p w14:paraId="420EAF7A" w14:textId="3BF765E8" w:rsidR="008B7A80" w:rsidRPr="004926B7" w:rsidRDefault="008B7A80" w:rsidP="008B7A80">
      <w:pPr>
        <w:pStyle w:val="Heading2"/>
      </w:pPr>
      <w:r w:rsidRPr="004926B7">
        <w:t>2.1 ETSI EN 301 681</w:t>
      </w:r>
    </w:p>
    <w:p w14:paraId="38E6DF28" w14:textId="55CECBD1" w:rsidR="007B28DA" w:rsidRDefault="007B28DA" w:rsidP="007B28DA">
      <w:pPr>
        <w:rPr>
          <w:lang w:eastAsia="en-US"/>
        </w:rPr>
      </w:pPr>
      <w:r>
        <w:rPr>
          <w:lang w:eastAsia="en-US"/>
        </w:rPr>
        <w:t xml:space="preserve">The ETSI EN 301 681 harmonized standard provides regulatory requirements for band 255 and band 253 for operation within Europe. Depending on which frequency band is explicitly used, different tables within the standard are mandated. In this harmonized standard, devices are separated into two categories, those which are only capable of transmitting in n255, and those which are capable of transmitting within all or any part of n255 or n253. </w:t>
      </w:r>
    </w:p>
    <w:p w14:paraId="42874907" w14:textId="77777777" w:rsidR="0055097D" w:rsidRDefault="0055097D" w:rsidP="0055097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ETSI EN 301 681 Requirements vs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2017"/>
        <w:gridCol w:w="2168"/>
        <w:gridCol w:w="1829"/>
        <w:gridCol w:w="1679"/>
      </w:tblGrid>
      <w:tr w:rsidR="0055097D" w14:paraId="2481F0B7" w14:textId="77777777" w:rsidTr="00F8146E">
        <w:tc>
          <w:tcPr>
            <w:tcW w:w="1935" w:type="dxa"/>
            <w:shd w:val="clear" w:color="auto" w:fill="auto"/>
          </w:tcPr>
          <w:p w14:paraId="5B097100" w14:textId="77777777" w:rsidR="0055097D" w:rsidRDefault="0055097D" w:rsidP="00F8146E">
            <w:pPr>
              <w:rPr>
                <w:rFonts w:eastAsia="Arial"/>
                <w:sz w:val="22"/>
                <w:szCs w:val="22"/>
                <w:lang w:eastAsia="en-US"/>
              </w:rPr>
            </w:pPr>
            <w:r>
              <w:rPr>
                <w:rFonts w:eastAsia="Arial"/>
                <w:sz w:val="22"/>
                <w:szCs w:val="22"/>
                <w:lang w:eastAsia="en-US"/>
              </w:rPr>
              <w:t>Band</w:t>
            </w:r>
          </w:p>
        </w:tc>
        <w:tc>
          <w:tcPr>
            <w:tcW w:w="2017" w:type="dxa"/>
            <w:shd w:val="clear" w:color="auto" w:fill="auto"/>
          </w:tcPr>
          <w:p w14:paraId="1440F694" w14:textId="77777777" w:rsidR="0055097D" w:rsidRDefault="0055097D" w:rsidP="00F8146E">
            <w:pPr>
              <w:rPr>
                <w:rFonts w:eastAsia="Arial"/>
                <w:sz w:val="22"/>
                <w:szCs w:val="22"/>
                <w:lang w:eastAsia="en-US"/>
              </w:rPr>
            </w:pPr>
            <w:r>
              <w:rPr>
                <w:rFonts w:eastAsia="Arial"/>
                <w:sz w:val="22"/>
                <w:szCs w:val="22"/>
                <w:lang w:eastAsia="en-US"/>
              </w:rPr>
              <w:t>Uplink [MHz]</w:t>
            </w:r>
          </w:p>
        </w:tc>
        <w:tc>
          <w:tcPr>
            <w:tcW w:w="2168" w:type="dxa"/>
            <w:shd w:val="clear" w:color="auto" w:fill="auto"/>
          </w:tcPr>
          <w:p w14:paraId="1B403C9F" w14:textId="77777777" w:rsidR="0055097D" w:rsidRDefault="0055097D" w:rsidP="00F8146E">
            <w:pPr>
              <w:rPr>
                <w:rFonts w:eastAsia="Arial"/>
                <w:sz w:val="22"/>
                <w:szCs w:val="22"/>
                <w:lang w:eastAsia="en-US"/>
              </w:rPr>
            </w:pPr>
            <w:r>
              <w:rPr>
                <w:rFonts w:eastAsia="Arial"/>
                <w:sz w:val="22"/>
                <w:szCs w:val="22"/>
                <w:lang w:eastAsia="en-US"/>
              </w:rPr>
              <w:t>Downlink [MHz]</w:t>
            </w:r>
          </w:p>
        </w:tc>
        <w:tc>
          <w:tcPr>
            <w:tcW w:w="1829" w:type="dxa"/>
            <w:shd w:val="clear" w:color="auto" w:fill="auto"/>
          </w:tcPr>
          <w:p w14:paraId="0A6263BA" w14:textId="77777777" w:rsidR="0055097D" w:rsidRDefault="0055097D" w:rsidP="00F8146E">
            <w:pPr>
              <w:rPr>
                <w:rFonts w:eastAsia="Arial"/>
                <w:sz w:val="22"/>
                <w:szCs w:val="22"/>
                <w:lang w:eastAsia="en-US"/>
              </w:rPr>
            </w:pPr>
            <w:r>
              <w:rPr>
                <w:rFonts w:eastAsia="Arial"/>
                <w:sz w:val="22"/>
                <w:szCs w:val="22"/>
                <w:lang w:eastAsia="en-US"/>
              </w:rPr>
              <w:t>In-band SEM Table</w:t>
            </w:r>
          </w:p>
        </w:tc>
        <w:tc>
          <w:tcPr>
            <w:tcW w:w="1679" w:type="dxa"/>
            <w:shd w:val="clear" w:color="auto" w:fill="auto"/>
          </w:tcPr>
          <w:p w14:paraId="7B988061" w14:textId="77777777" w:rsidR="0055097D" w:rsidRDefault="0055097D" w:rsidP="00F8146E">
            <w:pPr>
              <w:rPr>
                <w:rFonts w:eastAsia="Arial"/>
                <w:sz w:val="22"/>
                <w:szCs w:val="22"/>
                <w:lang w:eastAsia="en-US"/>
              </w:rPr>
            </w:pPr>
            <w:r>
              <w:rPr>
                <w:rFonts w:eastAsia="Arial"/>
                <w:sz w:val="22"/>
                <w:szCs w:val="22"/>
                <w:lang w:eastAsia="en-US"/>
              </w:rPr>
              <w:t>Out-of-band SEM Table</w:t>
            </w:r>
          </w:p>
        </w:tc>
      </w:tr>
      <w:tr w:rsidR="0055097D" w14:paraId="778D5437" w14:textId="77777777" w:rsidTr="00F8146E">
        <w:tc>
          <w:tcPr>
            <w:tcW w:w="1935" w:type="dxa"/>
            <w:shd w:val="clear" w:color="auto" w:fill="auto"/>
          </w:tcPr>
          <w:p w14:paraId="27FC707A" w14:textId="77777777" w:rsidR="0055097D" w:rsidRDefault="0055097D" w:rsidP="00F8146E">
            <w:pPr>
              <w:rPr>
                <w:rFonts w:eastAsia="Arial"/>
                <w:sz w:val="22"/>
                <w:szCs w:val="22"/>
                <w:lang w:eastAsia="en-US"/>
              </w:rPr>
            </w:pPr>
            <w:r>
              <w:rPr>
                <w:rFonts w:eastAsia="Arial"/>
                <w:sz w:val="22"/>
                <w:szCs w:val="22"/>
                <w:lang w:eastAsia="en-US"/>
              </w:rPr>
              <w:t>n255</w:t>
            </w:r>
          </w:p>
        </w:tc>
        <w:tc>
          <w:tcPr>
            <w:tcW w:w="2017" w:type="dxa"/>
            <w:shd w:val="clear" w:color="auto" w:fill="auto"/>
          </w:tcPr>
          <w:p w14:paraId="1A73C38D" w14:textId="77777777" w:rsidR="0055097D" w:rsidRDefault="0055097D" w:rsidP="00F8146E">
            <w:pPr>
              <w:rPr>
                <w:rFonts w:eastAsia="Arial"/>
                <w:sz w:val="22"/>
                <w:szCs w:val="22"/>
                <w:lang w:eastAsia="en-US"/>
              </w:rPr>
            </w:pPr>
            <w:r>
              <w:rPr>
                <w:rFonts w:eastAsia="Arial"/>
                <w:sz w:val="22"/>
                <w:szCs w:val="22"/>
                <w:lang w:eastAsia="en-US"/>
              </w:rPr>
              <w:t>1626.5-1660.5</w:t>
            </w:r>
          </w:p>
        </w:tc>
        <w:tc>
          <w:tcPr>
            <w:tcW w:w="2168" w:type="dxa"/>
            <w:shd w:val="clear" w:color="auto" w:fill="auto"/>
          </w:tcPr>
          <w:p w14:paraId="6621B9C8" w14:textId="77777777" w:rsidR="0055097D" w:rsidRDefault="0055097D" w:rsidP="00F8146E">
            <w:pPr>
              <w:rPr>
                <w:rFonts w:eastAsia="Arial"/>
                <w:sz w:val="22"/>
                <w:szCs w:val="22"/>
                <w:lang w:eastAsia="en-US"/>
              </w:rPr>
            </w:pPr>
            <w:r>
              <w:rPr>
                <w:rFonts w:eastAsia="Arial"/>
                <w:sz w:val="22"/>
                <w:szCs w:val="22"/>
                <w:lang w:eastAsia="en-US"/>
              </w:rPr>
              <w:t>1525-1559</w:t>
            </w:r>
          </w:p>
        </w:tc>
        <w:tc>
          <w:tcPr>
            <w:tcW w:w="1829" w:type="dxa"/>
            <w:shd w:val="clear" w:color="auto" w:fill="auto"/>
          </w:tcPr>
          <w:p w14:paraId="36E12B63" w14:textId="77777777" w:rsidR="0055097D" w:rsidRDefault="0055097D" w:rsidP="00F8146E">
            <w:pPr>
              <w:rPr>
                <w:rFonts w:eastAsia="Arial"/>
                <w:sz w:val="22"/>
                <w:szCs w:val="22"/>
                <w:lang w:eastAsia="en-US"/>
              </w:rPr>
            </w:pPr>
            <w:r>
              <w:rPr>
                <w:rFonts w:eastAsia="Arial"/>
                <w:sz w:val="22"/>
                <w:szCs w:val="22"/>
                <w:lang w:eastAsia="en-US"/>
              </w:rPr>
              <w:t>Table 4a</w:t>
            </w:r>
          </w:p>
        </w:tc>
        <w:tc>
          <w:tcPr>
            <w:tcW w:w="1679" w:type="dxa"/>
            <w:shd w:val="clear" w:color="auto" w:fill="auto"/>
          </w:tcPr>
          <w:p w14:paraId="774A46DC" w14:textId="77777777" w:rsidR="0055097D" w:rsidRDefault="0055097D" w:rsidP="00F8146E">
            <w:pPr>
              <w:rPr>
                <w:rFonts w:eastAsia="Arial"/>
                <w:sz w:val="22"/>
                <w:szCs w:val="22"/>
                <w:lang w:eastAsia="en-US"/>
              </w:rPr>
            </w:pPr>
            <w:r>
              <w:rPr>
                <w:rFonts w:eastAsia="Arial"/>
                <w:sz w:val="22"/>
                <w:szCs w:val="22"/>
                <w:lang w:eastAsia="en-US"/>
              </w:rPr>
              <w:t>Table 3</w:t>
            </w:r>
          </w:p>
        </w:tc>
      </w:tr>
      <w:tr w:rsidR="0055097D" w14:paraId="450A479B" w14:textId="77777777" w:rsidTr="00F8146E">
        <w:tc>
          <w:tcPr>
            <w:tcW w:w="1935" w:type="dxa"/>
            <w:shd w:val="clear" w:color="auto" w:fill="auto"/>
          </w:tcPr>
          <w:p w14:paraId="03E4AA36" w14:textId="77777777" w:rsidR="0055097D" w:rsidRDefault="0055097D" w:rsidP="00F8146E">
            <w:pPr>
              <w:rPr>
                <w:rFonts w:eastAsia="Arial"/>
                <w:sz w:val="22"/>
                <w:szCs w:val="22"/>
                <w:lang w:eastAsia="en-US"/>
              </w:rPr>
            </w:pPr>
            <w:r>
              <w:rPr>
                <w:rFonts w:eastAsia="Arial"/>
                <w:sz w:val="22"/>
                <w:szCs w:val="22"/>
                <w:lang w:eastAsia="en-US"/>
              </w:rPr>
              <w:t>n253</w:t>
            </w:r>
          </w:p>
        </w:tc>
        <w:tc>
          <w:tcPr>
            <w:tcW w:w="2017" w:type="dxa"/>
            <w:shd w:val="clear" w:color="auto" w:fill="auto"/>
          </w:tcPr>
          <w:p w14:paraId="76628034" w14:textId="77777777" w:rsidR="0055097D" w:rsidRDefault="0055097D" w:rsidP="00F8146E">
            <w:pPr>
              <w:rPr>
                <w:rFonts w:eastAsia="Arial"/>
                <w:sz w:val="22"/>
                <w:szCs w:val="22"/>
                <w:lang w:eastAsia="en-US"/>
              </w:rPr>
            </w:pPr>
            <w:r>
              <w:rPr>
                <w:rFonts w:eastAsia="Arial"/>
                <w:sz w:val="22"/>
                <w:szCs w:val="22"/>
                <w:lang w:eastAsia="en-US"/>
              </w:rPr>
              <w:t>1668-1675</w:t>
            </w:r>
          </w:p>
        </w:tc>
        <w:tc>
          <w:tcPr>
            <w:tcW w:w="2168" w:type="dxa"/>
            <w:shd w:val="clear" w:color="auto" w:fill="auto"/>
          </w:tcPr>
          <w:p w14:paraId="3BDD39A3" w14:textId="77777777" w:rsidR="0055097D" w:rsidRDefault="0055097D" w:rsidP="00F8146E">
            <w:pPr>
              <w:rPr>
                <w:rFonts w:eastAsia="Arial"/>
                <w:sz w:val="22"/>
                <w:szCs w:val="22"/>
                <w:lang w:eastAsia="en-US"/>
              </w:rPr>
            </w:pPr>
            <w:r>
              <w:rPr>
                <w:rFonts w:eastAsia="Arial"/>
                <w:sz w:val="22"/>
                <w:szCs w:val="22"/>
                <w:lang w:eastAsia="en-US"/>
              </w:rPr>
              <w:t>1518-1525</w:t>
            </w:r>
          </w:p>
        </w:tc>
        <w:tc>
          <w:tcPr>
            <w:tcW w:w="1829" w:type="dxa"/>
            <w:shd w:val="clear" w:color="auto" w:fill="auto"/>
          </w:tcPr>
          <w:p w14:paraId="30F8E7AD" w14:textId="77777777" w:rsidR="0055097D" w:rsidRDefault="0055097D" w:rsidP="00F8146E">
            <w:pPr>
              <w:rPr>
                <w:rFonts w:eastAsia="Arial"/>
                <w:sz w:val="22"/>
                <w:szCs w:val="22"/>
                <w:lang w:eastAsia="en-US"/>
              </w:rPr>
            </w:pPr>
            <w:r>
              <w:rPr>
                <w:rFonts w:eastAsia="Arial"/>
                <w:sz w:val="22"/>
                <w:szCs w:val="22"/>
                <w:lang w:eastAsia="en-US"/>
              </w:rPr>
              <w:t>Table 4a</w:t>
            </w:r>
          </w:p>
        </w:tc>
        <w:tc>
          <w:tcPr>
            <w:tcW w:w="1679" w:type="dxa"/>
            <w:shd w:val="clear" w:color="auto" w:fill="auto"/>
          </w:tcPr>
          <w:p w14:paraId="57DC99EF" w14:textId="77777777" w:rsidR="0055097D" w:rsidRDefault="0055097D" w:rsidP="00F8146E">
            <w:pPr>
              <w:rPr>
                <w:rFonts w:eastAsia="Arial"/>
                <w:sz w:val="22"/>
                <w:szCs w:val="22"/>
                <w:lang w:eastAsia="en-US"/>
              </w:rPr>
            </w:pPr>
            <w:r>
              <w:rPr>
                <w:rFonts w:eastAsia="Arial"/>
                <w:sz w:val="22"/>
                <w:szCs w:val="22"/>
                <w:lang w:eastAsia="en-US"/>
              </w:rPr>
              <w:t>Table 3a</w:t>
            </w:r>
          </w:p>
        </w:tc>
      </w:tr>
    </w:tbl>
    <w:p w14:paraId="5543B78E" w14:textId="77777777" w:rsidR="009244F9" w:rsidRDefault="009244F9" w:rsidP="009244F9">
      <w:pPr>
        <w:rPr>
          <w:b/>
          <w:bCs/>
          <w:i/>
          <w:iCs/>
        </w:rPr>
      </w:pPr>
    </w:p>
    <w:p w14:paraId="5F9A7D0F" w14:textId="6717380A" w:rsidR="00CC76D0" w:rsidRDefault="009244F9" w:rsidP="00CC76D0">
      <w:pPr>
        <w:rPr>
          <w:i/>
          <w:iCs/>
        </w:rPr>
      </w:pPr>
      <w:r>
        <w:rPr>
          <w:b/>
          <w:bCs/>
          <w:i/>
          <w:iCs/>
        </w:rPr>
        <w:t xml:space="preserve">Proposal 1: </w:t>
      </w:r>
      <w:r w:rsidRPr="004926B7">
        <w:rPr>
          <w:b/>
          <w:bCs/>
          <w:i/>
          <w:iCs/>
        </w:rPr>
        <w:t xml:space="preserve">ETSI EN 301 681 shall be used to assess the regulatory compliance of HPUE operating in bands n253 and n255, including ACLR </w:t>
      </w:r>
      <w:r w:rsidR="004926B7" w:rsidRPr="004926B7">
        <w:rPr>
          <w:b/>
          <w:bCs/>
          <w:i/>
          <w:iCs/>
        </w:rPr>
        <w:t>and SEM.</w:t>
      </w:r>
    </w:p>
    <w:p w14:paraId="121D0339" w14:textId="7A2E8379" w:rsidR="00A605D6" w:rsidRDefault="00A605D6" w:rsidP="00CC76D0">
      <w:r w:rsidRPr="00A605D6">
        <w:t xml:space="preserve">ETSI EN 301 681 covers devices </w:t>
      </w:r>
      <w:r>
        <w:t xml:space="preserve">which radiate a maximum EIRP of </w:t>
      </w:r>
      <w:r w:rsidR="00EA0EF3">
        <w:t>15dBW. This means the ETSI EN 301 681 regulatory requirements are valid for the following peak antenna gains for each power class:</w:t>
      </w:r>
    </w:p>
    <w:p w14:paraId="03F35D96" w14:textId="152958CC" w:rsidR="00FE6C44" w:rsidRPr="00FE6C44" w:rsidRDefault="00FE6C44" w:rsidP="00FE6C44">
      <w:pPr>
        <w:pStyle w:val="Caption"/>
        <w:keepNext/>
        <w:jc w:val="center"/>
      </w:pPr>
      <w:r w:rsidRPr="00FE6C44">
        <w:t>Table 2 ETSI EN 301 681 Maximum Antenna Applic</w:t>
      </w:r>
      <w:r>
        <w:t>ability</w:t>
      </w:r>
    </w:p>
    <w:tbl>
      <w:tblPr>
        <w:tblStyle w:val="TableGrid"/>
        <w:tblW w:w="0" w:type="auto"/>
        <w:tblLook w:val="04A0" w:firstRow="1" w:lastRow="0" w:firstColumn="1" w:lastColumn="0" w:noHBand="0" w:noVBand="1"/>
      </w:tblPr>
      <w:tblGrid>
        <w:gridCol w:w="3272"/>
        <w:gridCol w:w="3276"/>
        <w:gridCol w:w="3081"/>
      </w:tblGrid>
      <w:tr w:rsidR="00EA0EF3" w14:paraId="3DF62A17" w14:textId="2E152A40" w:rsidTr="00EA0EF3">
        <w:tc>
          <w:tcPr>
            <w:tcW w:w="3272" w:type="dxa"/>
          </w:tcPr>
          <w:p w14:paraId="024CDFC8" w14:textId="48FA9161" w:rsidR="00EA0EF3" w:rsidRDefault="00EA0EF3" w:rsidP="00CC76D0">
            <w:r>
              <w:t>Power Class</w:t>
            </w:r>
          </w:p>
        </w:tc>
        <w:tc>
          <w:tcPr>
            <w:tcW w:w="3276" w:type="dxa"/>
          </w:tcPr>
          <w:p w14:paraId="5A31A790" w14:textId="01F1885B" w:rsidR="00EA0EF3" w:rsidRDefault="00EA0EF3" w:rsidP="00CC76D0">
            <w:r>
              <w:t>Power [dBm]</w:t>
            </w:r>
          </w:p>
        </w:tc>
        <w:tc>
          <w:tcPr>
            <w:tcW w:w="3081" w:type="dxa"/>
          </w:tcPr>
          <w:p w14:paraId="7D02A5D3" w14:textId="482828E9" w:rsidR="00EA0EF3" w:rsidRDefault="00EA0EF3" w:rsidP="00CC76D0">
            <w:r>
              <w:t>Max Antenna Gain [dBi]</w:t>
            </w:r>
          </w:p>
        </w:tc>
      </w:tr>
      <w:tr w:rsidR="00EA0EF3" w14:paraId="0696FBA0" w14:textId="4B591F08" w:rsidTr="00EA0EF3">
        <w:tc>
          <w:tcPr>
            <w:tcW w:w="3272" w:type="dxa"/>
          </w:tcPr>
          <w:p w14:paraId="27B9789E" w14:textId="47B65EC4" w:rsidR="00EA0EF3" w:rsidRDefault="00EA0EF3" w:rsidP="00CC76D0">
            <w:r>
              <w:t>3</w:t>
            </w:r>
          </w:p>
        </w:tc>
        <w:tc>
          <w:tcPr>
            <w:tcW w:w="3276" w:type="dxa"/>
          </w:tcPr>
          <w:p w14:paraId="11550B16" w14:textId="6A547BC2" w:rsidR="00EA0EF3" w:rsidRDefault="00EA0EF3" w:rsidP="00CC76D0">
            <w:r>
              <w:t>23</w:t>
            </w:r>
          </w:p>
        </w:tc>
        <w:tc>
          <w:tcPr>
            <w:tcW w:w="3081" w:type="dxa"/>
          </w:tcPr>
          <w:p w14:paraId="3508470E" w14:textId="068FD16C" w:rsidR="00EA0EF3" w:rsidRDefault="00FE6C44" w:rsidP="00CC76D0">
            <w:r>
              <w:t>22</w:t>
            </w:r>
          </w:p>
        </w:tc>
      </w:tr>
      <w:tr w:rsidR="00EA0EF3" w14:paraId="4D820C3D" w14:textId="0D7CAAD0" w:rsidTr="00EA0EF3">
        <w:tc>
          <w:tcPr>
            <w:tcW w:w="3272" w:type="dxa"/>
          </w:tcPr>
          <w:p w14:paraId="693FD82E" w14:textId="3A5E632A" w:rsidR="00EA0EF3" w:rsidRDefault="00EA0EF3" w:rsidP="00CC76D0">
            <w:r>
              <w:t>2</w:t>
            </w:r>
          </w:p>
        </w:tc>
        <w:tc>
          <w:tcPr>
            <w:tcW w:w="3276" w:type="dxa"/>
          </w:tcPr>
          <w:p w14:paraId="5155393F" w14:textId="57BDA7B4" w:rsidR="00EA0EF3" w:rsidRDefault="00EA0EF3" w:rsidP="00CC76D0">
            <w:r>
              <w:t>26</w:t>
            </w:r>
          </w:p>
        </w:tc>
        <w:tc>
          <w:tcPr>
            <w:tcW w:w="3081" w:type="dxa"/>
          </w:tcPr>
          <w:p w14:paraId="02B1ABD5" w14:textId="65A6E150" w:rsidR="00EA0EF3" w:rsidRDefault="00FE6C44" w:rsidP="00CC76D0">
            <w:r>
              <w:t>19</w:t>
            </w:r>
          </w:p>
        </w:tc>
      </w:tr>
      <w:tr w:rsidR="00EA0EF3" w14:paraId="0E96DC19" w14:textId="37A064FF" w:rsidTr="00EA0EF3">
        <w:tc>
          <w:tcPr>
            <w:tcW w:w="3272" w:type="dxa"/>
          </w:tcPr>
          <w:p w14:paraId="111C5EA6" w14:textId="2BE08515" w:rsidR="00EA0EF3" w:rsidRDefault="00EA0EF3" w:rsidP="00CC76D0">
            <w:r>
              <w:t>1.5</w:t>
            </w:r>
          </w:p>
        </w:tc>
        <w:tc>
          <w:tcPr>
            <w:tcW w:w="3276" w:type="dxa"/>
          </w:tcPr>
          <w:p w14:paraId="0867BBA8" w14:textId="620CDADF" w:rsidR="00EA0EF3" w:rsidRDefault="00EA0EF3" w:rsidP="00CC76D0">
            <w:r>
              <w:t>29</w:t>
            </w:r>
          </w:p>
        </w:tc>
        <w:tc>
          <w:tcPr>
            <w:tcW w:w="3081" w:type="dxa"/>
          </w:tcPr>
          <w:p w14:paraId="1F4F6B5F" w14:textId="7F125C89" w:rsidR="00EA0EF3" w:rsidRDefault="00FE6C44" w:rsidP="00CC76D0">
            <w:r>
              <w:t>16</w:t>
            </w:r>
          </w:p>
        </w:tc>
      </w:tr>
      <w:tr w:rsidR="00EA0EF3" w14:paraId="0EFB234D" w14:textId="77777777" w:rsidTr="00EA0EF3">
        <w:tc>
          <w:tcPr>
            <w:tcW w:w="3272" w:type="dxa"/>
          </w:tcPr>
          <w:p w14:paraId="757BE963" w14:textId="5385F619" w:rsidR="00EA0EF3" w:rsidRDefault="00EA0EF3" w:rsidP="00CC76D0">
            <w:r>
              <w:t>1</w:t>
            </w:r>
          </w:p>
        </w:tc>
        <w:tc>
          <w:tcPr>
            <w:tcW w:w="3276" w:type="dxa"/>
          </w:tcPr>
          <w:p w14:paraId="2DB577CC" w14:textId="7C81484C" w:rsidR="00EA0EF3" w:rsidRDefault="00EA0EF3" w:rsidP="00CC76D0">
            <w:r>
              <w:t>31</w:t>
            </w:r>
          </w:p>
        </w:tc>
        <w:tc>
          <w:tcPr>
            <w:tcW w:w="3081" w:type="dxa"/>
          </w:tcPr>
          <w:p w14:paraId="25C19844" w14:textId="027F4566" w:rsidR="00EA0EF3" w:rsidRDefault="00EA0EF3" w:rsidP="00CC76D0">
            <w:r>
              <w:t>14</w:t>
            </w:r>
          </w:p>
        </w:tc>
      </w:tr>
    </w:tbl>
    <w:p w14:paraId="746EC029" w14:textId="77777777" w:rsidR="00DD2CF4" w:rsidRDefault="00DD2CF4" w:rsidP="00CC76D0"/>
    <w:p w14:paraId="33E03A23" w14:textId="2FF01715" w:rsidR="00FE6C44" w:rsidRDefault="00FE6C44" w:rsidP="00CC76D0">
      <w:r w:rsidRPr="00FE6C44">
        <w:t>For mobile handset applications t</w:t>
      </w:r>
      <w:r>
        <w:t>he expected antenna gain is well under this even for PC1, as such</w:t>
      </w:r>
      <w:r w:rsidR="00F35035">
        <w:t xml:space="preserve"> EN 301 681 is again suitable to assess the regulatory compliance for mobile handset devices operating in bands 253 and 255.</w:t>
      </w:r>
    </w:p>
    <w:p w14:paraId="5CF654B9" w14:textId="77353440" w:rsidR="00DD2CF4" w:rsidRPr="001950E4" w:rsidRDefault="00DD2CF4" w:rsidP="00CC76D0">
      <w:pPr>
        <w:rPr>
          <w:b/>
          <w:bCs/>
          <w:i/>
          <w:iCs/>
          <w:lang w:eastAsia="en-US"/>
        </w:rPr>
      </w:pPr>
      <w:r w:rsidRPr="001950E4">
        <w:rPr>
          <w:b/>
          <w:bCs/>
          <w:i/>
          <w:iCs/>
          <w:lang w:eastAsia="en-US"/>
        </w:rPr>
        <w:t xml:space="preserve">Observation 1: ETSI EN 301 681 is applicable for UEs with an EIRP of less than 15dBW which is highly likely not </w:t>
      </w:r>
      <w:proofErr w:type="spellStart"/>
      <w:r w:rsidRPr="001950E4">
        <w:rPr>
          <w:b/>
          <w:bCs/>
          <w:i/>
          <w:iCs/>
          <w:lang w:eastAsia="en-US"/>
        </w:rPr>
        <w:t>tbe</w:t>
      </w:r>
      <w:proofErr w:type="spellEnd"/>
      <w:r w:rsidRPr="001950E4">
        <w:rPr>
          <w:b/>
          <w:bCs/>
          <w:i/>
          <w:iCs/>
          <w:lang w:eastAsia="en-US"/>
        </w:rPr>
        <w:t xml:space="preserve"> exceeded by mobile handsets.</w:t>
      </w:r>
    </w:p>
    <w:p w14:paraId="74CAD238" w14:textId="13E510EF" w:rsidR="00DD2CF4" w:rsidRDefault="00DD2CF4" w:rsidP="00CC76D0">
      <w:pPr>
        <w:rPr>
          <w:lang w:eastAsia="en-US"/>
        </w:rPr>
      </w:pPr>
      <w:r w:rsidRPr="00DD2CF4">
        <w:rPr>
          <w:lang w:eastAsia="en-US"/>
        </w:rPr>
        <w:t>ETSI EN 301 681 also provides in</w:t>
      </w:r>
      <w:r>
        <w:rPr>
          <w:lang w:eastAsia="en-US"/>
        </w:rPr>
        <w:t>formation on the protection of radioastronomy bands</w:t>
      </w:r>
      <w:r w:rsidR="009B32F1">
        <w:rPr>
          <w:lang w:eastAsia="en-US"/>
        </w:rPr>
        <w:t>, 1660-1660.5MHz and 1668-1670MHz</w:t>
      </w:r>
      <w:r>
        <w:rPr>
          <w:lang w:eastAsia="en-US"/>
        </w:rPr>
        <w:t xml:space="preserve">, mandating a mute function </w:t>
      </w:r>
      <w:r w:rsidR="00096BA5">
        <w:rPr>
          <w:lang w:eastAsia="en-US"/>
        </w:rPr>
        <w:t>for parts of the band when in the presence of a radioastronomy station</w:t>
      </w:r>
      <w:r w:rsidR="009B32F1">
        <w:rPr>
          <w:lang w:eastAsia="en-US"/>
        </w:rPr>
        <w:t xml:space="preserve"> that is registered in the ITU master international frequency register.</w:t>
      </w:r>
      <w:r w:rsidR="00096BA5">
        <w:rPr>
          <w:lang w:eastAsia="en-US"/>
        </w:rPr>
        <w:t>.</w:t>
      </w:r>
    </w:p>
    <w:p w14:paraId="7CF6CE85" w14:textId="61D50343" w:rsidR="00096BA5" w:rsidRPr="009077F0" w:rsidRDefault="0017258F" w:rsidP="00CC76D0">
      <w:pPr>
        <w:rPr>
          <w:b/>
          <w:i/>
          <w:lang w:eastAsia="en-US"/>
        </w:rPr>
      </w:pPr>
      <w:r w:rsidRPr="0017258F">
        <w:rPr>
          <w:b/>
          <w:bCs/>
          <w:i/>
          <w:iCs/>
          <w:lang w:eastAsia="en-US"/>
        </w:rPr>
        <w:t xml:space="preserve">Proposal 2: </w:t>
      </w:r>
      <w:r w:rsidRPr="004926B7">
        <w:rPr>
          <w:b/>
          <w:bCs/>
          <w:i/>
          <w:iCs/>
          <w:lang w:eastAsia="en-US"/>
        </w:rPr>
        <w:t>ETSI EN 301 681 can be used to inform system design features for the protection of the radio astronomy band</w:t>
      </w:r>
      <w:r w:rsidR="000744A6" w:rsidRPr="004926B7">
        <w:rPr>
          <w:b/>
          <w:bCs/>
          <w:i/>
          <w:iCs/>
          <w:lang w:eastAsia="en-US"/>
        </w:rPr>
        <w:t>s at 1660-1660.5MHz and 1668-1670MHz.</w:t>
      </w:r>
    </w:p>
    <w:p w14:paraId="33C9A563" w14:textId="1EBB509A" w:rsidR="00E36340" w:rsidRPr="0017258F" w:rsidRDefault="00E36340" w:rsidP="00E36340">
      <w:pPr>
        <w:pStyle w:val="Heading2"/>
      </w:pPr>
      <w:r w:rsidRPr="0017258F">
        <w:t xml:space="preserve">2.2 </w:t>
      </w:r>
      <w:r w:rsidR="006A2965" w:rsidRPr="0017258F">
        <w:t>ETSI EN 30</w:t>
      </w:r>
      <w:r w:rsidR="00CC76D0" w:rsidRPr="0017258F">
        <w:t>2</w:t>
      </w:r>
      <w:r w:rsidR="006A2965" w:rsidRPr="0017258F">
        <w:t xml:space="preserve"> 57</w:t>
      </w:r>
      <w:r w:rsidR="00CC76D0" w:rsidRPr="0017258F">
        <w:t>4</w:t>
      </w:r>
      <w:r w:rsidR="000A132F" w:rsidRPr="0017258F">
        <w:t xml:space="preserve"> Part </w:t>
      </w:r>
      <w:r w:rsidR="0079780C" w:rsidRPr="0017258F">
        <w:t>2</w:t>
      </w:r>
    </w:p>
    <w:p w14:paraId="7A90C513" w14:textId="0886CCD1" w:rsidR="00A966DD" w:rsidRDefault="00A966DD" w:rsidP="00A966DD">
      <w:pPr>
        <w:rPr>
          <w:lang w:eastAsia="en-US"/>
        </w:rPr>
      </w:pPr>
      <w:r w:rsidRPr="00ED11DB">
        <w:rPr>
          <w:lang w:eastAsia="en-US"/>
        </w:rPr>
        <w:t>The ETSI EN 30</w:t>
      </w:r>
      <w:r>
        <w:rPr>
          <w:lang w:eastAsia="en-US"/>
        </w:rPr>
        <w:t>2</w:t>
      </w:r>
      <w:r w:rsidRPr="00ED11DB">
        <w:rPr>
          <w:lang w:eastAsia="en-US"/>
        </w:rPr>
        <w:t xml:space="preserve"> 574</w:t>
      </w:r>
      <w:r w:rsidR="0079780C">
        <w:rPr>
          <w:lang w:eastAsia="en-US"/>
        </w:rPr>
        <w:t xml:space="preserve"> Part 2</w:t>
      </w:r>
      <w:r w:rsidRPr="00ED11DB">
        <w:rPr>
          <w:lang w:eastAsia="en-US"/>
        </w:rPr>
        <w:t xml:space="preserve"> harmonized standard provides regul</w:t>
      </w:r>
      <w:r>
        <w:rPr>
          <w:lang w:eastAsia="en-US"/>
        </w:rPr>
        <w:t>atory requirements for band 256</w:t>
      </w:r>
      <w:r w:rsidR="00336DE7">
        <w:rPr>
          <w:lang w:eastAsia="en-US"/>
        </w:rPr>
        <w:t xml:space="preserve"> for devices which operate with a channel bandwidth greater </w:t>
      </w:r>
      <w:r w:rsidR="00195C4D">
        <w:rPr>
          <w:lang w:eastAsia="en-US"/>
        </w:rPr>
        <w:t>than 1MHz (i.e. NR)</w:t>
      </w:r>
      <w:r>
        <w:rPr>
          <w:lang w:eastAsia="en-US"/>
        </w:rPr>
        <w:t xml:space="preserve">. Different out of band regulatory spectrum emissions masks are used, depending on how far away from the device’s transmitted signal is from the frequency of interest. </w:t>
      </w:r>
    </w:p>
    <w:p w14:paraId="6BDA4EA4" w14:textId="08094AFF" w:rsidR="00195C4D" w:rsidRPr="003C0C3F" w:rsidRDefault="00195C4D" w:rsidP="00A966DD">
      <w:pPr>
        <w:rPr>
          <w:b/>
          <w:i/>
          <w:lang w:eastAsia="en-US"/>
        </w:rPr>
      </w:pPr>
      <w:r>
        <w:rPr>
          <w:b/>
          <w:bCs/>
          <w:i/>
          <w:iCs/>
          <w:lang w:eastAsia="en-US"/>
        </w:rPr>
        <w:t xml:space="preserve">Observation </w:t>
      </w:r>
      <w:r w:rsidR="00DD2CF4">
        <w:rPr>
          <w:b/>
          <w:bCs/>
          <w:i/>
          <w:iCs/>
          <w:lang w:eastAsia="en-US"/>
        </w:rPr>
        <w:t>2</w:t>
      </w:r>
      <w:r>
        <w:rPr>
          <w:b/>
          <w:bCs/>
          <w:i/>
          <w:iCs/>
          <w:lang w:eastAsia="en-US"/>
        </w:rPr>
        <w:t xml:space="preserve">: </w:t>
      </w:r>
      <w:r w:rsidRPr="003C0C3F">
        <w:rPr>
          <w:b/>
          <w:i/>
          <w:lang w:eastAsia="en-US"/>
        </w:rPr>
        <w:t>ETSI EN 301 574 Part 2 is only applicable for UE with a channel bandwidth greater than 1MHz.</w:t>
      </w:r>
    </w:p>
    <w:p w14:paraId="5E9528A0" w14:textId="233E1454" w:rsidR="00A966DD" w:rsidRDefault="00A966DD" w:rsidP="003F108C">
      <w:pPr>
        <w:rPr>
          <w:lang w:eastAsia="en-US"/>
        </w:rPr>
      </w:pPr>
      <w:r>
        <w:rPr>
          <w:lang w:eastAsia="en-US"/>
        </w:rPr>
        <w:t xml:space="preserve">The </w:t>
      </w:r>
      <w:r w:rsidR="00432AD8">
        <w:rPr>
          <w:lang w:eastAsia="en-US"/>
        </w:rPr>
        <w:t>emissions requirements for this standard are given in tables, including spectrum emissions masks</w:t>
      </w:r>
      <w:r w:rsidR="00415904">
        <w:rPr>
          <w:lang w:eastAsia="en-US"/>
        </w:rPr>
        <w:t xml:space="preserve"> given in Table 4 and</w:t>
      </w:r>
      <w:r w:rsidR="00432AD8">
        <w:rPr>
          <w:lang w:eastAsia="en-US"/>
        </w:rPr>
        <w:t xml:space="preserve"> spurious emissions requirements </w:t>
      </w:r>
      <w:r w:rsidR="00415904">
        <w:rPr>
          <w:lang w:eastAsia="en-US"/>
        </w:rPr>
        <w:t>given in Table 5.</w:t>
      </w:r>
    </w:p>
    <w:p w14:paraId="40DD0836" w14:textId="0AA3D74B" w:rsidR="00A966DD" w:rsidRDefault="00A966DD" w:rsidP="00A966DD">
      <w:pPr>
        <w:rPr>
          <w:i/>
          <w:iCs/>
        </w:rPr>
      </w:pPr>
      <w:r>
        <w:rPr>
          <w:b/>
          <w:bCs/>
          <w:i/>
          <w:iCs/>
        </w:rPr>
        <w:t xml:space="preserve">Proposal </w:t>
      </w:r>
      <w:r w:rsidR="000744A6">
        <w:rPr>
          <w:b/>
          <w:bCs/>
          <w:i/>
          <w:iCs/>
        </w:rPr>
        <w:t>3</w:t>
      </w:r>
      <w:r>
        <w:rPr>
          <w:b/>
          <w:bCs/>
          <w:i/>
          <w:iCs/>
        </w:rPr>
        <w:t xml:space="preserve">: </w:t>
      </w:r>
      <w:r w:rsidRPr="004926B7">
        <w:rPr>
          <w:b/>
          <w:bCs/>
          <w:i/>
          <w:iCs/>
        </w:rPr>
        <w:t>ETSI EN 301 574</w:t>
      </w:r>
      <w:r w:rsidR="00DB2B73" w:rsidRPr="004926B7">
        <w:rPr>
          <w:b/>
          <w:bCs/>
          <w:i/>
          <w:iCs/>
        </w:rPr>
        <w:t xml:space="preserve"> Part 2</w:t>
      </w:r>
      <w:r w:rsidRPr="004926B7">
        <w:rPr>
          <w:b/>
          <w:bCs/>
          <w:i/>
          <w:iCs/>
        </w:rPr>
        <w:t xml:space="preserve"> shall be used to assess the regulatory compliance of</w:t>
      </w:r>
      <w:r w:rsidR="00415904" w:rsidRPr="004926B7">
        <w:rPr>
          <w:b/>
          <w:bCs/>
          <w:i/>
          <w:iCs/>
        </w:rPr>
        <w:t xml:space="preserve"> NR</w:t>
      </w:r>
      <w:r w:rsidRPr="004926B7">
        <w:rPr>
          <w:b/>
          <w:bCs/>
          <w:i/>
          <w:iCs/>
        </w:rPr>
        <w:t xml:space="preserve"> HPUE operating in band n256, </w:t>
      </w:r>
      <w:r w:rsidR="00415904" w:rsidRPr="004926B7">
        <w:rPr>
          <w:b/>
          <w:bCs/>
          <w:i/>
          <w:iCs/>
        </w:rPr>
        <w:t xml:space="preserve">including ACLR </w:t>
      </w:r>
      <w:r w:rsidR="004926B7" w:rsidRPr="004926B7">
        <w:rPr>
          <w:b/>
          <w:bCs/>
          <w:i/>
          <w:iCs/>
        </w:rPr>
        <w:t>and SEM.</w:t>
      </w:r>
    </w:p>
    <w:p w14:paraId="1201E27C" w14:textId="40E262E7" w:rsidR="00415904" w:rsidRPr="004926B7" w:rsidRDefault="00415904" w:rsidP="00DB5192">
      <w:pPr>
        <w:pStyle w:val="Heading2"/>
        <w:ind w:left="0" w:firstLine="0"/>
      </w:pPr>
      <w:r w:rsidRPr="004926B7">
        <w:t>2.3 ETSI EN 302 574 Part 3</w:t>
      </w:r>
    </w:p>
    <w:p w14:paraId="01250CF1" w14:textId="72D72A46" w:rsidR="00415904" w:rsidRDefault="00415904" w:rsidP="00415904">
      <w:pPr>
        <w:rPr>
          <w:lang w:eastAsia="en-US"/>
        </w:rPr>
      </w:pPr>
      <w:r w:rsidRPr="00ED11DB">
        <w:rPr>
          <w:lang w:eastAsia="en-US"/>
        </w:rPr>
        <w:t>The ETSI EN 30</w:t>
      </w:r>
      <w:r>
        <w:rPr>
          <w:lang w:eastAsia="en-US"/>
        </w:rPr>
        <w:t>2</w:t>
      </w:r>
      <w:r w:rsidRPr="00ED11DB">
        <w:rPr>
          <w:lang w:eastAsia="en-US"/>
        </w:rPr>
        <w:t xml:space="preserve"> 574</w:t>
      </w:r>
      <w:r>
        <w:rPr>
          <w:lang w:eastAsia="en-US"/>
        </w:rPr>
        <w:t xml:space="preserve"> Part 3</w:t>
      </w:r>
      <w:r w:rsidRPr="00ED11DB">
        <w:rPr>
          <w:lang w:eastAsia="en-US"/>
        </w:rPr>
        <w:t xml:space="preserve"> harmonized standard provides regul</w:t>
      </w:r>
      <w:r>
        <w:rPr>
          <w:lang w:eastAsia="en-US"/>
        </w:rPr>
        <w:t>atory requirements for band 256 for devices which operate with a channel bandwidth less than 1MHz (</w:t>
      </w:r>
      <w:r w:rsidR="00D5745D">
        <w:rPr>
          <w:lang w:eastAsia="en-US"/>
        </w:rPr>
        <w:t>e.g</w:t>
      </w:r>
      <w:r>
        <w:rPr>
          <w:lang w:eastAsia="en-US"/>
        </w:rPr>
        <w:t xml:space="preserve">. NB-IoT). Different out of band regulatory spectrum emissions masks are used, depending on how far away from the device’s transmitted signal is from the frequency of interest. </w:t>
      </w:r>
    </w:p>
    <w:p w14:paraId="39F9C0B3" w14:textId="1BEE4026" w:rsidR="00415904" w:rsidRPr="00B6388C" w:rsidRDefault="00415904" w:rsidP="00415904">
      <w:pPr>
        <w:rPr>
          <w:b/>
          <w:i/>
          <w:lang w:eastAsia="en-US"/>
        </w:rPr>
      </w:pPr>
      <w:r>
        <w:rPr>
          <w:b/>
          <w:bCs/>
          <w:i/>
          <w:iCs/>
          <w:lang w:eastAsia="en-US"/>
        </w:rPr>
        <w:t xml:space="preserve">Observation </w:t>
      </w:r>
      <w:r w:rsidR="00DD2CF4">
        <w:rPr>
          <w:b/>
          <w:bCs/>
          <w:i/>
          <w:iCs/>
          <w:lang w:eastAsia="en-US"/>
        </w:rPr>
        <w:t>3</w:t>
      </w:r>
      <w:r>
        <w:rPr>
          <w:b/>
          <w:bCs/>
          <w:i/>
          <w:iCs/>
          <w:lang w:eastAsia="en-US"/>
        </w:rPr>
        <w:t xml:space="preserve">: </w:t>
      </w:r>
      <w:r w:rsidRPr="00B6388C">
        <w:rPr>
          <w:b/>
          <w:i/>
          <w:lang w:eastAsia="en-US"/>
        </w:rPr>
        <w:t>ETSI EN 301 574 Part 3 is only applicable for UE with a channel bandwidth less than 1MHz.</w:t>
      </w:r>
    </w:p>
    <w:p w14:paraId="1C5CD061" w14:textId="77777777" w:rsidR="00C66441" w:rsidRDefault="00C66441" w:rsidP="00C66441">
      <w:pPr>
        <w:rPr>
          <w:lang w:eastAsia="en-US"/>
        </w:rPr>
      </w:pPr>
      <w:r>
        <w:rPr>
          <w:lang w:eastAsia="en-US"/>
        </w:rPr>
        <w:t>The spectrum emissions mask for frequencies less than 2.5MHz from the UE centre frequency is table 3b. The spectrum emissions mask for frequencies more than 2.5MHz from the UE centre frequency is table 3a.</w:t>
      </w:r>
    </w:p>
    <w:p w14:paraId="2FB2E84A" w14:textId="77777777" w:rsidR="00C66441" w:rsidRDefault="00C66441" w:rsidP="00C66441">
      <w:pPr>
        <w:rPr>
          <w:lang w:eastAsia="en-US"/>
        </w:rPr>
      </w:pPr>
      <w:r>
        <w:rPr>
          <w:lang w:eastAsia="en-US"/>
        </w:rPr>
        <w:t>For the In-band spectrum emissions mask case, either Table 4a or Table 4b can be used, though the manufacturer must declare which table was used to assess regulatory compliance.</w:t>
      </w:r>
    </w:p>
    <w:p w14:paraId="39700E0C" w14:textId="11676739" w:rsidR="00415904" w:rsidRPr="003B341B" w:rsidRDefault="00415904" w:rsidP="00415904">
      <w:pPr>
        <w:rPr>
          <w:b/>
          <w:i/>
        </w:rPr>
      </w:pPr>
      <w:r>
        <w:rPr>
          <w:b/>
          <w:bCs/>
          <w:i/>
          <w:iCs/>
        </w:rPr>
        <w:t xml:space="preserve">Proposal </w:t>
      </w:r>
      <w:r w:rsidR="000744A6">
        <w:rPr>
          <w:b/>
          <w:bCs/>
          <w:i/>
          <w:iCs/>
        </w:rPr>
        <w:t>4</w:t>
      </w:r>
      <w:r>
        <w:rPr>
          <w:b/>
          <w:bCs/>
          <w:i/>
          <w:iCs/>
        </w:rPr>
        <w:t xml:space="preserve">: </w:t>
      </w:r>
      <w:r w:rsidRPr="003B341B">
        <w:rPr>
          <w:b/>
          <w:i/>
        </w:rPr>
        <w:t xml:space="preserve">ETSI EN 301 574 Part 3 shall be used to assess the regulatory compliance of NB-IoT HPUE operating in band n256, including ACLR </w:t>
      </w:r>
      <w:r w:rsidR="003B341B" w:rsidRPr="003B341B">
        <w:rPr>
          <w:b/>
          <w:bCs/>
          <w:i/>
          <w:iCs/>
        </w:rPr>
        <w:t>and SEM</w:t>
      </w:r>
      <w:r w:rsidRPr="003B341B">
        <w:rPr>
          <w:b/>
          <w:i/>
        </w:rPr>
        <w:t>.</w:t>
      </w:r>
    </w:p>
    <w:p w14:paraId="77A938DB" w14:textId="4720442B" w:rsidR="00E36340" w:rsidRPr="00092E86" w:rsidRDefault="00E36340" w:rsidP="00E36340">
      <w:pPr>
        <w:pStyle w:val="Heading2"/>
      </w:pPr>
      <w:r w:rsidRPr="00092E86">
        <w:t>2.</w:t>
      </w:r>
      <w:r w:rsidR="00C66441" w:rsidRPr="00092E86">
        <w:t>4</w:t>
      </w:r>
      <w:r w:rsidRPr="00092E86">
        <w:t xml:space="preserve"> FCC Part 25</w:t>
      </w:r>
    </w:p>
    <w:p w14:paraId="32CB5FFC" w14:textId="2F3D3CC2" w:rsidR="00A605D6" w:rsidRDefault="00A605D6" w:rsidP="00A605D6">
      <w:pPr>
        <w:rPr>
          <w:lang w:eastAsia="en-US"/>
        </w:rPr>
      </w:pPr>
      <w:r>
        <w:rPr>
          <w:lang w:eastAsia="en-US"/>
        </w:rPr>
        <w:t xml:space="preserve">The FCC part 25 specification clause 202 covers the FCC requirements for </w:t>
      </w:r>
      <w:r w:rsidR="00092E86">
        <w:rPr>
          <w:lang w:eastAsia="en-US"/>
        </w:rPr>
        <w:t xml:space="preserve">bands </w:t>
      </w:r>
      <w:r>
        <w:rPr>
          <w:lang w:eastAsia="en-US"/>
        </w:rPr>
        <w:t>253</w:t>
      </w:r>
      <w:r w:rsidR="00092E86">
        <w:rPr>
          <w:lang w:eastAsia="en-US"/>
        </w:rPr>
        <w:t xml:space="preserve">, </w:t>
      </w:r>
      <w:r>
        <w:rPr>
          <w:lang w:eastAsia="en-US"/>
        </w:rPr>
        <w:t>255</w:t>
      </w:r>
      <w:r w:rsidR="00092E86">
        <w:rPr>
          <w:lang w:eastAsia="en-US"/>
        </w:rPr>
        <w:t xml:space="preserve"> and 256</w:t>
      </w:r>
      <w:r>
        <w:rPr>
          <w:lang w:eastAsia="en-US"/>
        </w:rPr>
        <w:t>. Condensed into a table the requirements are as follows, for an authorised bandwidth B, with a transmitter power W:</w:t>
      </w:r>
    </w:p>
    <w:p w14:paraId="0E362D47" w14:textId="23D452A0" w:rsidR="00253847" w:rsidRDefault="00253847" w:rsidP="00253847">
      <w:pPr>
        <w:pStyle w:val="Caption"/>
        <w:keepNext/>
        <w:jc w:val="center"/>
      </w:pPr>
      <w:r w:rsidRPr="00FE6C44">
        <w:t xml:space="preserve">Table </w:t>
      </w:r>
      <w:r>
        <w:t>3 FCC Part 25 Emissions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A605D6" w14:paraId="4D7E33E0" w14:textId="77777777" w:rsidTr="00F8146E">
        <w:tc>
          <w:tcPr>
            <w:tcW w:w="3209" w:type="dxa"/>
            <w:shd w:val="clear" w:color="auto" w:fill="auto"/>
          </w:tcPr>
          <w:p w14:paraId="3F2E13F3" w14:textId="77777777" w:rsidR="00A605D6" w:rsidRDefault="00A605D6" w:rsidP="00F8146E">
            <w:pPr>
              <w:rPr>
                <w:rFonts w:eastAsia="Arial"/>
                <w:sz w:val="22"/>
                <w:szCs w:val="22"/>
                <w:lang w:eastAsia="en-US"/>
              </w:rPr>
            </w:pPr>
            <w:r>
              <w:rPr>
                <w:rFonts w:eastAsia="Arial"/>
                <w:sz w:val="22"/>
                <w:szCs w:val="22"/>
                <w:lang w:eastAsia="en-US"/>
              </w:rPr>
              <w:t>Frequency from edge of authorised bandwidth</w:t>
            </w:r>
          </w:p>
        </w:tc>
        <w:tc>
          <w:tcPr>
            <w:tcW w:w="3209" w:type="dxa"/>
            <w:shd w:val="clear" w:color="auto" w:fill="auto"/>
          </w:tcPr>
          <w:p w14:paraId="65C01D1A" w14:textId="77777777" w:rsidR="00A605D6" w:rsidRDefault="00A605D6" w:rsidP="00F8146E">
            <w:pPr>
              <w:rPr>
                <w:rFonts w:eastAsia="Arial"/>
                <w:sz w:val="22"/>
                <w:szCs w:val="22"/>
                <w:lang w:eastAsia="en-US"/>
              </w:rPr>
            </w:pPr>
            <w:r>
              <w:rPr>
                <w:rFonts w:eastAsia="Arial"/>
                <w:sz w:val="22"/>
                <w:szCs w:val="22"/>
                <w:lang w:eastAsia="en-US"/>
              </w:rPr>
              <w:t>Attenuation [dB]</w:t>
            </w:r>
          </w:p>
        </w:tc>
        <w:tc>
          <w:tcPr>
            <w:tcW w:w="3210" w:type="dxa"/>
            <w:shd w:val="clear" w:color="auto" w:fill="auto"/>
          </w:tcPr>
          <w:p w14:paraId="162967C2" w14:textId="77777777" w:rsidR="00A605D6" w:rsidRDefault="00A605D6" w:rsidP="00F8146E">
            <w:pPr>
              <w:rPr>
                <w:rFonts w:eastAsia="Arial"/>
                <w:sz w:val="22"/>
                <w:szCs w:val="22"/>
                <w:lang w:eastAsia="en-US"/>
              </w:rPr>
            </w:pPr>
            <w:r>
              <w:rPr>
                <w:rFonts w:eastAsia="Arial"/>
                <w:sz w:val="22"/>
                <w:szCs w:val="22"/>
                <w:lang w:eastAsia="en-US"/>
              </w:rPr>
              <w:t>Measurement BW [kHz]</w:t>
            </w:r>
          </w:p>
        </w:tc>
      </w:tr>
      <w:tr w:rsidR="00A605D6" w14:paraId="250D415E" w14:textId="77777777" w:rsidTr="00F8146E">
        <w:tc>
          <w:tcPr>
            <w:tcW w:w="3209" w:type="dxa"/>
            <w:shd w:val="clear" w:color="auto" w:fill="auto"/>
          </w:tcPr>
          <w:p w14:paraId="7D98ED44" w14:textId="77777777" w:rsidR="00A605D6" w:rsidRDefault="00A605D6" w:rsidP="00F8146E">
            <w:pPr>
              <w:rPr>
                <w:rFonts w:eastAsia="Arial"/>
                <w:sz w:val="22"/>
                <w:szCs w:val="22"/>
                <w:lang w:eastAsia="en-US"/>
              </w:rPr>
            </w:pPr>
            <w:r>
              <w:rPr>
                <w:rFonts w:eastAsia="Arial"/>
                <w:sz w:val="22"/>
                <w:szCs w:val="22"/>
                <w:lang w:eastAsia="en-US"/>
              </w:rPr>
              <w:t>0.5B - B</w:t>
            </w:r>
          </w:p>
        </w:tc>
        <w:tc>
          <w:tcPr>
            <w:tcW w:w="3209" w:type="dxa"/>
            <w:shd w:val="clear" w:color="auto" w:fill="auto"/>
          </w:tcPr>
          <w:p w14:paraId="6ED3422F" w14:textId="77777777" w:rsidR="00A605D6" w:rsidRDefault="00A605D6" w:rsidP="00F8146E">
            <w:pPr>
              <w:rPr>
                <w:rFonts w:eastAsia="Arial"/>
                <w:sz w:val="22"/>
                <w:szCs w:val="22"/>
                <w:lang w:eastAsia="en-US"/>
              </w:rPr>
            </w:pPr>
            <w:r>
              <w:rPr>
                <w:rFonts w:eastAsia="Arial"/>
                <w:sz w:val="22"/>
                <w:szCs w:val="22"/>
                <w:lang w:eastAsia="en-US"/>
              </w:rPr>
              <w:t>25</w:t>
            </w:r>
          </w:p>
        </w:tc>
        <w:tc>
          <w:tcPr>
            <w:tcW w:w="3210" w:type="dxa"/>
            <w:shd w:val="clear" w:color="auto" w:fill="auto"/>
          </w:tcPr>
          <w:p w14:paraId="399F0846" w14:textId="77777777" w:rsidR="00A605D6" w:rsidRDefault="00A605D6" w:rsidP="00F8146E">
            <w:pPr>
              <w:rPr>
                <w:rFonts w:eastAsia="Arial"/>
                <w:sz w:val="22"/>
                <w:szCs w:val="22"/>
                <w:lang w:eastAsia="en-US"/>
              </w:rPr>
            </w:pPr>
            <w:r>
              <w:rPr>
                <w:rFonts w:eastAsia="Arial"/>
                <w:sz w:val="22"/>
                <w:szCs w:val="22"/>
                <w:lang w:eastAsia="en-US"/>
              </w:rPr>
              <w:t>4</w:t>
            </w:r>
          </w:p>
        </w:tc>
      </w:tr>
      <w:tr w:rsidR="00A605D6" w14:paraId="7151475C" w14:textId="77777777" w:rsidTr="00F8146E">
        <w:tc>
          <w:tcPr>
            <w:tcW w:w="3209" w:type="dxa"/>
            <w:shd w:val="clear" w:color="auto" w:fill="auto"/>
          </w:tcPr>
          <w:p w14:paraId="0891881F" w14:textId="77777777" w:rsidR="00A605D6" w:rsidRDefault="00A605D6" w:rsidP="00F8146E">
            <w:pPr>
              <w:rPr>
                <w:rFonts w:eastAsia="Arial"/>
                <w:sz w:val="22"/>
                <w:szCs w:val="22"/>
                <w:lang w:eastAsia="en-US"/>
              </w:rPr>
            </w:pPr>
            <w:r>
              <w:rPr>
                <w:rFonts w:eastAsia="Arial"/>
                <w:sz w:val="22"/>
                <w:szCs w:val="22"/>
                <w:lang w:eastAsia="en-US"/>
              </w:rPr>
              <w:t>B – 2.5B</w:t>
            </w:r>
          </w:p>
        </w:tc>
        <w:tc>
          <w:tcPr>
            <w:tcW w:w="3209" w:type="dxa"/>
            <w:shd w:val="clear" w:color="auto" w:fill="auto"/>
          </w:tcPr>
          <w:p w14:paraId="521FBFFD" w14:textId="77777777" w:rsidR="00A605D6" w:rsidRDefault="00A605D6" w:rsidP="00F8146E">
            <w:pPr>
              <w:rPr>
                <w:rFonts w:eastAsia="Arial"/>
                <w:sz w:val="22"/>
                <w:szCs w:val="22"/>
                <w:lang w:eastAsia="en-US"/>
              </w:rPr>
            </w:pPr>
            <w:r>
              <w:rPr>
                <w:rFonts w:eastAsia="Arial"/>
                <w:sz w:val="22"/>
                <w:szCs w:val="22"/>
                <w:lang w:eastAsia="en-US"/>
              </w:rPr>
              <w:t>35</w:t>
            </w:r>
          </w:p>
        </w:tc>
        <w:tc>
          <w:tcPr>
            <w:tcW w:w="3210" w:type="dxa"/>
            <w:shd w:val="clear" w:color="auto" w:fill="auto"/>
          </w:tcPr>
          <w:p w14:paraId="271525A1" w14:textId="77777777" w:rsidR="00A605D6" w:rsidRDefault="00A605D6" w:rsidP="00F8146E">
            <w:pPr>
              <w:rPr>
                <w:rFonts w:eastAsia="Arial"/>
                <w:sz w:val="22"/>
                <w:szCs w:val="22"/>
                <w:lang w:eastAsia="en-US"/>
              </w:rPr>
            </w:pPr>
            <w:r>
              <w:rPr>
                <w:rFonts w:eastAsia="Arial"/>
                <w:sz w:val="22"/>
                <w:szCs w:val="22"/>
                <w:lang w:eastAsia="en-US"/>
              </w:rPr>
              <w:t>4</w:t>
            </w:r>
          </w:p>
        </w:tc>
      </w:tr>
      <w:tr w:rsidR="00A605D6" w14:paraId="4974BCF0" w14:textId="77777777" w:rsidTr="00F8146E">
        <w:tc>
          <w:tcPr>
            <w:tcW w:w="3209" w:type="dxa"/>
            <w:shd w:val="clear" w:color="auto" w:fill="auto"/>
          </w:tcPr>
          <w:p w14:paraId="562B8543" w14:textId="77777777" w:rsidR="00A605D6" w:rsidRDefault="00A605D6" w:rsidP="00F8146E">
            <w:pPr>
              <w:rPr>
                <w:rFonts w:eastAsia="Arial"/>
                <w:sz w:val="22"/>
                <w:szCs w:val="22"/>
                <w:lang w:eastAsia="en-US"/>
              </w:rPr>
            </w:pPr>
            <w:r>
              <w:rPr>
                <w:rFonts w:eastAsia="Arial"/>
                <w:sz w:val="22"/>
                <w:szCs w:val="22"/>
                <w:lang w:eastAsia="en-US"/>
              </w:rPr>
              <w:t>&gt;=2.5B</w:t>
            </w:r>
          </w:p>
        </w:tc>
        <w:tc>
          <w:tcPr>
            <w:tcW w:w="3209" w:type="dxa"/>
            <w:shd w:val="clear" w:color="auto" w:fill="auto"/>
          </w:tcPr>
          <w:p w14:paraId="5EA44A75" w14:textId="77777777" w:rsidR="00A605D6" w:rsidRDefault="00A605D6" w:rsidP="00F8146E">
            <w:pPr>
              <w:rPr>
                <w:rFonts w:eastAsia="Arial"/>
                <w:sz w:val="22"/>
                <w:szCs w:val="22"/>
                <w:lang w:eastAsia="en-US"/>
              </w:rPr>
            </w:pPr>
            <w:r>
              <w:rPr>
                <w:rFonts w:eastAsia="Arial"/>
                <w:sz w:val="22"/>
                <w:szCs w:val="22"/>
                <w:lang w:eastAsia="en-US"/>
              </w:rPr>
              <w:t>43-10log10(W)</w:t>
            </w:r>
          </w:p>
        </w:tc>
        <w:tc>
          <w:tcPr>
            <w:tcW w:w="3210" w:type="dxa"/>
            <w:shd w:val="clear" w:color="auto" w:fill="auto"/>
          </w:tcPr>
          <w:p w14:paraId="5FC952A7" w14:textId="77777777" w:rsidR="00A605D6" w:rsidRDefault="00A605D6" w:rsidP="00F8146E">
            <w:pPr>
              <w:rPr>
                <w:rFonts w:eastAsia="Arial"/>
                <w:sz w:val="22"/>
                <w:szCs w:val="22"/>
                <w:lang w:eastAsia="en-US"/>
              </w:rPr>
            </w:pPr>
            <w:r>
              <w:rPr>
                <w:rFonts w:eastAsia="Arial"/>
                <w:sz w:val="22"/>
                <w:szCs w:val="22"/>
                <w:lang w:eastAsia="en-US"/>
              </w:rPr>
              <w:t>4</w:t>
            </w:r>
          </w:p>
        </w:tc>
      </w:tr>
    </w:tbl>
    <w:p w14:paraId="1E812F16" w14:textId="77777777" w:rsidR="00A605D6" w:rsidRDefault="00A605D6" w:rsidP="00A605D6">
      <w:pPr>
        <w:rPr>
          <w:lang w:val="en-US"/>
        </w:rPr>
      </w:pPr>
    </w:p>
    <w:p w14:paraId="00079B1B" w14:textId="5799C87A" w:rsidR="00E36340" w:rsidRPr="004926B7" w:rsidRDefault="00A605D6" w:rsidP="00E36340">
      <w:pPr>
        <w:rPr>
          <w:b/>
          <w:bCs/>
          <w:i/>
          <w:iCs/>
        </w:rPr>
      </w:pPr>
      <w:r w:rsidRPr="004926B7">
        <w:rPr>
          <w:b/>
          <w:bCs/>
          <w:i/>
          <w:iCs/>
        </w:rPr>
        <w:t xml:space="preserve">Proposal </w:t>
      </w:r>
      <w:r w:rsidR="000744A6" w:rsidRPr="004926B7">
        <w:rPr>
          <w:b/>
          <w:bCs/>
          <w:i/>
          <w:iCs/>
        </w:rPr>
        <w:t>5</w:t>
      </w:r>
      <w:r w:rsidRPr="004926B7">
        <w:rPr>
          <w:b/>
          <w:bCs/>
          <w:i/>
          <w:iCs/>
        </w:rPr>
        <w:t>: FCC Part 25 clause 202 shall be used to assess the regulatory compliance of</w:t>
      </w:r>
      <w:r w:rsidR="00092E86" w:rsidRPr="004926B7">
        <w:rPr>
          <w:b/>
          <w:bCs/>
          <w:i/>
          <w:iCs/>
        </w:rPr>
        <w:t xml:space="preserve"> bands 253, 255 and 256</w:t>
      </w:r>
      <w:r w:rsidRPr="004926B7">
        <w:rPr>
          <w:b/>
          <w:bCs/>
          <w:i/>
          <w:iCs/>
        </w:rPr>
        <w:t xml:space="preserve">, and shall be used to inform decisions on spectrum emissions related requirements such as </w:t>
      </w:r>
      <w:r w:rsidR="00092E86" w:rsidRPr="004926B7">
        <w:rPr>
          <w:b/>
          <w:bCs/>
          <w:i/>
          <w:iCs/>
        </w:rPr>
        <w:t xml:space="preserve">ACLR </w:t>
      </w:r>
      <w:r w:rsidR="004926B7" w:rsidRPr="004926B7">
        <w:rPr>
          <w:b/>
          <w:bCs/>
          <w:i/>
          <w:iCs/>
        </w:rPr>
        <w:t>and SEM.</w:t>
      </w:r>
    </w:p>
    <w:p w14:paraId="418A1C5C" w14:textId="0C8FF2B6" w:rsidR="00ED7626" w:rsidRDefault="00ED7626" w:rsidP="003E07CE">
      <w:pPr>
        <w:pStyle w:val="Heading1"/>
        <w:numPr>
          <w:ilvl w:val="0"/>
          <w:numId w:val="1"/>
        </w:numPr>
      </w:pPr>
      <w:r w:rsidRPr="003E07CE">
        <w:t>RF Performance</w:t>
      </w:r>
    </w:p>
    <w:p w14:paraId="772D622D" w14:textId="6C46C1B5" w:rsidR="00545A53" w:rsidRDefault="00545A53" w:rsidP="00545A53">
      <w:pPr>
        <w:pStyle w:val="Heading2"/>
      </w:pPr>
      <w:r>
        <w:t>3.1 ACLR Methodology</w:t>
      </w:r>
    </w:p>
    <w:p w14:paraId="031CF939" w14:textId="5AC53712" w:rsidR="00A45D0B" w:rsidRDefault="00A45D0B" w:rsidP="00A45D0B">
      <w:r>
        <w:t>When HPUE was defined for the TN</w:t>
      </w:r>
      <w:r w:rsidR="005C637D">
        <w:t xml:space="preserve"> NR</w:t>
      </w:r>
      <w:r w:rsidR="00CD3E98">
        <w:t xml:space="preserve">, </w:t>
      </w:r>
      <w:r w:rsidR="00BA0FA9">
        <w:t>the ACLR limits were defined as follows:</w:t>
      </w:r>
    </w:p>
    <w:p w14:paraId="606323C5" w14:textId="5DF0A07A" w:rsidR="00253847" w:rsidRDefault="00253847" w:rsidP="00253847">
      <w:pPr>
        <w:pStyle w:val="Caption"/>
        <w:keepNext/>
        <w:jc w:val="center"/>
      </w:pPr>
      <w:r>
        <w:tab/>
      </w:r>
      <w:r>
        <w:tab/>
      </w:r>
      <w:r w:rsidRPr="00FE6C44">
        <w:t xml:space="preserve">Table </w:t>
      </w:r>
      <w:r>
        <w:t>4</w:t>
      </w:r>
      <w:r w:rsidRPr="00FE6C44">
        <w:t xml:space="preserve"> </w:t>
      </w:r>
      <w:r>
        <w:t>TS 36.101-1 ACLR Requirement for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253847" w14:paraId="149B0FBA" w14:textId="77777777" w:rsidTr="00F8146E">
        <w:trPr>
          <w:cantSplit/>
          <w:jc w:val="center"/>
        </w:trPr>
        <w:tc>
          <w:tcPr>
            <w:tcW w:w="1026" w:type="dxa"/>
            <w:tcBorders>
              <w:top w:val="single" w:sz="4" w:space="0" w:color="auto"/>
              <w:left w:val="single" w:sz="4" w:space="0" w:color="auto"/>
              <w:bottom w:val="single" w:sz="4" w:space="0" w:color="auto"/>
              <w:right w:val="single" w:sz="4" w:space="0" w:color="auto"/>
            </w:tcBorders>
          </w:tcPr>
          <w:p w14:paraId="38A4C4F3" w14:textId="77777777" w:rsidR="00253847" w:rsidRDefault="00253847" w:rsidP="00F8146E">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2424793E" w14:textId="77777777" w:rsidR="00253847" w:rsidRDefault="00253847" w:rsidP="00F8146E">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64C06A2" w14:textId="77777777" w:rsidR="00253847" w:rsidRDefault="00253847" w:rsidP="00F8146E">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DA736CA" w14:textId="77777777" w:rsidR="00253847" w:rsidRDefault="00253847" w:rsidP="00F8146E">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22EDB73B" w14:textId="77777777" w:rsidR="00253847" w:rsidRDefault="00253847" w:rsidP="00F8146E">
            <w:pPr>
              <w:pStyle w:val="TAH"/>
              <w:rPr>
                <w:lang w:val="fr-FR"/>
              </w:rPr>
            </w:pPr>
            <w:r>
              <w:rPr>
                <w:lang w:val="fr-FR"/>
              </w:rPr>
              <w:t>Power class 3</w:t>
            </w:r>
          </w:p>
        </w:tc>
      </w:tr>
      <w:tr w:rsidR="00253847" w14:paraId="5D6F403B" w14:textId="77777777" w:rsidTr="00F8146E">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BB71C61" w14:textId="77777777" w:rsidR="00253847" w:rsidRDefault="00253847" w:rsidP="00F8146E">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AC8657E" w14:textId="77777777" w:rsidR="00253847" w:rsidRDefault="00253847" w:rsidP="00F8146E">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54EA6BB6" w14:textId="77777777" w:rsidR="00253847" w:rsidRDefault="00253847" w:rsidP="00F8146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0331642" w14:textId="77777777" w:rsidR="00253847" w:rsidRDefault="00253847" w:rsidP="00F8146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2E9C676" w14:textId="77777777" w:rsidR="00253847" w:rsidRDefault="00253847" w:rsidP="00F8146E">
            <w:pPr>
              <w:pStyle w:val="TAC"/>
              <w:rPr>
                <w:lang w:val="fr-FR"/>
              </w:rPr>
            </w:pPr>
            <w:r>
              <w:rPr>
                <w:lang w:val="fr-FR"/>
              </w:rPr>
              <w:t>30 dB</w:t>
            </w:r>
          </w:p>
        </w:tc>
      </w:tr>
      <w:tr w:rsidR="00253847" w14:paraId="6D10C27A" w14:textId="77777777" w:rsidTr="00F8146E">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0000D74" w14:textId="77777777" w:rsidR="00253847" w:rsidRDefault="00253847" w:rsidP="00F8146E">
            <w:pPr>
              <w:pStyle w:val="TAN"/>
              <w:rPr>
                <w:lang w:val="fr-FR"/>
              </w:rPr>
            </w:pPr>
            <w:r>
              <w:rPr>
                <w:lang w:val="fr-FR"/>
              </w:rPr>
              <w:t>NOTE 1:</w:t>
            </w:r>
            <w:r>
              <w:rPr>
                <w:lang w:val="fr-FR"/>
              </w:rPr>
              <w:tab/>
              <w:t>Void</w:t>
            </w:r>
          </w:p>
        </w:tc>
      </w:tr>
    </w:tbl>
    <w:p w14:paraId="5930F7FA" w14:textId="77777777" w:rsidR="00505CA9" w:rsidRDefault="00505CA9" w:rsidP="00A45D0B"/>
    <w:p w14:paraId="5C289451" w14:textId="7AB4971D" w:rsidR="00253847" w:rsidRDefault="00253847" w:rsidP="00A45D0B">
      <w:r>
        <w:t xml:space="preserve">As can be seen the ACLR requirement is only increased by 1dB for PC1.5 and PC2 from the baseline PC3. PC1 however is increased by 7dB, this is because the device type of a TN PC1 device is expected to be of a </w:t>
      </w:r>
      <w:r w:rsidR="005C637D">
        <w:t xml:space="preserve">larger </w:t>
      </w:r>
      <w:r>
        <w:t xml:space="preserve"> form factor to a PC1.5 and below device, thus </w:t>
      </w:r>
      <w:r w:rsidR="005C637D">
        <w:t>an RFFE with a better filter response is able to be used, which allows for a more strict ACLR requirement.</w:t>
      </w:r>
    </w:p>
    <w:p w14:paraId="5203CAF0" w14:textId="72FA5BAD" w:rsidR="00D01FAB" w:rsidRPr="00A54FDF" w:rsidRDefault="00D01FAB" w:rsidP="00A45D0B">
      <w:pPr>
        <w:rPr>
          <w:b/>
          <w:i/>
        </w:rPr>
      </w:pPr>
      <w:r>
        <w:rPr>
          <w:b/>
          <w:bCs/>
          <w:i/>
          <w:iCs/>
        </w:rPr>
        <w:t xml:space="preserve">Observation 4: </w:t>
      </w:r>
      <w:r w:rsidRPr="00A54FDF">
        <w:rPr>
          <w:b/>
          <w:i/>
        </w:rPr>
        <w:t>The ACLR requirements defined for PC1 for TN NR UE are based on a form factor which is larger than that of a mobile handset, thus allowing a higher quality RFFE to be used. This</w:t>
      </w:r>
      <w:r w:rsidR="009B6D49" w:rsidRPr="00A54FDF">
        <w:rPr>
          <w:b/>
          <w:i/>
        </w:rPr>
        <w:t xml:space="preserve"> much higher</w:t>
      </w:r>
      <w:r w:rsidRPr="00A54FDF">
        <w:rPr>
          <w:b/>
          <w:i/>
        </w:rPr>
        <w:t xml:space="preserve"> ACLR </w:t>
      </w:r>
      <w:r w:rsidR="00E932F8" w:rsidRPr="00A54FDF">
        <w:rPr>
          <w:b/>
          <w:i/>
        </w:rPr>
        <w:t>may not</w:t>
      </w:r>
      <w:r w:rsidRPr="00A54FDF">
        <w:rPr>
          <w:b/>
          <w:i/>
        </w:rPr>
        <w:t xml:space="preserve"> be </w:t>
      </w:r>
      <w:r w:rsidR="00E932F8" w:rsidRPr="00A54FDF">
        <w:rPr>
          <w:b/>
          <w:i/>
        </w:rPr>
        <w:t xml:space="preserve">achievable in </w:t>
      </w:r>
      <w:r w:rsidRPr="00A54FDF">
        <w:rPr>
          <w:b/>
          <w:i/>
        </w:rPr>
        <w:t>a mobile handset form factor</w:t>
      </w:r>
      <w:r w:rsidR="00E932F8" w:rsidRPr="00A54FDF">
        <w:rPr>
          <w:b/>
          <w:i/>
        </w:rPr>
        <w:t xml:space="preserve"> at least for certain transmission configurations, such as NR</w:t>
      </w:r>
      <w:r w:rsidR="00A54FDF" w:rsidRPr="00A54FDF">
        <w:rPr>
          <w:b/>
          <w:bCs/>
          <w:i/>
          <w:iCs/>
        </w:rPr>
        <w:t>, but might be achievable for NB-IoT</w:t>
      </w:r>
      <w:r w:rsidRPr="00A54FDF">
        <w:rPr>
          <w:b/>
          <w:i/>
        </w:rPr>
        <w:t>.</w:t>
      </w:r>
    </w:p>
    <w:p w14:paraId="263B4044" w14:textId="590F88B5" w:rsidR="006C170F" w:rsidRDefault="005C637D" w:rsidP="00A45D0B">
      <w:r>
        <w:t>For the form factor expected for NTN HPUE, i.e. a mobile handset, an ACLR requirement that is 7dB higher than the PC3 requirement may be impossible.</w:t>
      </w:r>
      <w:r w:rsidR="00D01FAB">
        <w:t xml:space="preserve"> </w:t>
      </w:r>
      <w:r w:rsidR="006C170F">
        <w:t>On the other hand, if we impose a lower ACLR, then the UE may meet the</w:t>
      </w:r>
      <w:r w:rsidR="008B6FED">
        <w:t xml:space="preserve"> 3GPP spectrum emissions mask, but A-MPR would be required in order to meet the regulatory requirements, thus rendering the increase in power class </w:t>
      </w:r>
      <w:r w:rsidR="004E50E2">
        <w:t>pointless.</w:t>
      </w:r>
    </w:p>
    <w:p w14:paraId="486625C8" w14:textId="210AD39D" w:rsidR="004E50E2" w:rsidRPr="00A54FDF" w:rsidRDefault="004E50E2" w:rsidP="00A45D0B">
      <w:pPr>
        <w:rPr>
          <w:b/>
          <w:i/>
        </w:rPr>
      </w:pPr>
      <w:r>
        <w:rPr>
          <w:b/>
          <w:bCs/>
          <w:i/>
          <w:iCs/>
        </w:rPr>
        <w:t xml:space="preserve">Observation 5: </w:t>
      </w:r>
      <w:r w:rsidRPr="00A54FDF">
        <w:rPr>
          <w:b/>
          <w:i/>
        </w:rPr>
        <w:t>If we define an ACLR that is too low, the UE may not meet regulatory spectrum emissions masks, meaning a higher A-MPR would have to be defined, rendering the increase in power class pointless.</w:t>
      </w:r>
    </w:p>
    <w:p w14:paraId="58C5C03B" w14:textId="482CDC83" w:rsidR="005C637D" w:rsidRDefault="004E50E2" w:rsidP="00A45D0B">
      <w:r>
        <w:t>Thus, i</w:t>
      </w:r>
      <w:r w:rsidR="006C170F">
        <w:t>t is suggested that the baseline ACLR requirement</w:t>
      </w:r>
      <w:r w:rsidR="00A21F06">
        <w:t>s</w:t>
      </w:r>
      <w:r w:rsidR="006C170F">
        <w:t xml:space="preserve"> for NTN HPUE, for both NR and NB-IoT, are to be derived from the regulatory spectrum emissions masks and the existing 3GPP spectrum emission masks since this is the absolute minimum requirement the UE has to meet to be allowed to legally operate over the licensed spectrum</w:t>
      </w:r>
      <w:r w:rsidR="00A83BB5">
        <w:t>.</w:t>
      </w:r>
      <w:r w:rsidR="001A7996">
        <w:t xml:space="preserve"> </w:t>
      </w:r>
    </w:p>
    <w:p w14:paraId="6BB69B6C" w14:textId="6D132C10" w:rsidR="00BA0FA9" w:rsidRPr="00A54FDF" w:rsidRDefault="001A7996" w:rsidP="00A45D0B">
      <w:pPr>
        <w:rPr>
          <w:b/>
          <w:i/>
        </w:rPr>
      </w:pPr>
      <w:r>
        <w:rPr>
          <w:b/>
          <w:bCs/>
          <w:i/>
          <w:iCs/>
        </w:rPr>
        <w:t xml:space="preserve">Proposal 6: </w:t>
      </w:r>
      <w:r w:rsidRPr="00A54FDF">
        <w:rPr>
          <w:b/>
          <w:i/>
        </w:rPr>
        <w:t xml:space="preserve">The </w:t>
      </w:r>
      <w:r w:rsidR="00A83BB5" w:rsidRPr="00A54FDF">
        <w:rPr>
          <w:b/>
          <w:i/>
        </w:rPr>
        <w:t>spectrum emissions masks in the regulatory standards will be used to derive the minimum ACLR requirements for NB-IoT and NR NTN, as this allows us to retain the benefit of power gains made from HPUE without mandating a high value for A-MPR.</w:t>
      </w:r>
    </w:p>
    <w:p w14:paraId="2CD96FC9" w14:textId="50C1CD93" w:rsidR="00545A53" w:rsidRDefault="00B872A8" w:rsidP="00B872A8">
      <w:pPr>
        <w:pStyle w:val="Heading2"/>
      </w:pPr>
      <w:r>
        <w:t>3.2 Spectrum Emissions Mask</w:t>
      </w:r>
      <w:r w:rsidR="006C170F">
        <w:t xml:space="preserve"> Methodology</w:t>
      </w:r>
    </w:p>
    <w:p w14:paraId="5619DECE" w14:textId="41D2194F" w:rsidR="00A83BB5" w:rsidRDefault="00A83BB5" w:rsidP="00A83BB5">
      <w:r>
        <w:t>For TN NR UE, the spectrum emissions mask does not change between power classes. As a result of the high ACLR specified for the PC1 devices in the TN specification as shown above, there is no issue when operating at higher power classes</w:t>
      </w:r>
      <w:r w:rsidR="00DF58A9">
        <w:t xml:space="preserve"> when considering a violation of the spectrum emissions mask. </w:t>
      </w:r>
    </w:p>
    <w:p w14:paraId="39B29126" w14:textId="58C3BAE9" w:rsidR="009B6D49" w:rsidRPr="004926B7" w:rsidRDefault="008153A7" w:rsidP="00A83BB5">
      <w:pPr>
        <w:rPr>
          <w:b/>
          <w:bCs/>
          <w:i/>
          <w:iCs/>
        </w:rPr>
      </w:pPr>
      <w:r w:rsidRPr="004926B7">
        <w:rPr>
          <w:b/>
          <w:bCs/>
          <w:i/>
          <w:iCs/>
        </w:rPr>
        <w:t>Observation 6: For PC1 using the TN ACLR specification, the UE will not struggle to meet the SEM due to the high ACLR value</w:t>
      </w:r>
      <w:r w:rsidR="006047B3" w:rsidRPr="004926B7">
        <w:rPr>
          <w:b/>
          <w:bCs/>
          <w:i/>
          <w:iCs/>
        </w:rPr>
        <w:t>.</w:t>
      </w:r>
    </w:p>
    <w:p w14:paraId="10E2F6F1" w14:textId="24814FEC" w:rsidR="00DF58A9" w:rsidRDefault="00DF58A9" w:rsidP="00A83BB5">
      <w:r>
        <w:t xml:space="preserve">For NTN UE, the ACLR of PC1 is expected to be much lower. As a result, the UE may struggle to meet the same SEM as the </w:t>
      </w:r>
      <w:r w:rsidR="009B6D49">
        <w:t>lower power classes</w:t>
      </w:r>
      <w:r w:rsidR="00E607EE">
        <w:t>. Therefore it may be necessary to derive a new power-class-dependent spectrum emissions mask.</w:t>
      </w:r>
    </w:p>
    <w:p w14:paraId="32102497" w14:textId="1A1C0948" w:rsidR="00E607EE" w:rsidRDefault="00E607EE" w:rsidP="00A83BB5">
      <w:r>
        <w:t>As a baseline, once the minimum ACLR value has been derived based on the regulatory requirements, a new spectrum emissions mask can be derived</w:t>
      </w:r>
      <w:r w:rsidR="00EB280B">
        <w:t xml:space="preserve"> from the expected emissions of a device of each power class.</w:t>
      </w:r>
    </w:p>
    <w:p w14:paraId="31E66EEA" w14:textId="1FA2DD91" w:rsidR="00ED7626" w:rsidRPr="004926B7" w:rsidRDefault="00E607EE" w:rsidP="00ED7626">
      <w:pPr>
        <w:rPr>
          <w:b/>
          <w:bCs/>
          <w:i/>
          <w:iCs/>
        </w:rPr>
      </w:pPr>
      <w:r w:rsidRPr="004926B7">
        <w:rPr>
          <w:b/>
          <w:bCs/>
          <w:i/>
          <w:iCs/>
        </w:rPr>
        <w:t xml:space="preserve">Proposal 7: Depending on the findings of the ACLR study based on regulatory </w:t>
      </w:r>
      <w:r w:rsidR="00534FCD" w:rsidRPr="004926B7">
        <w:rPr>
          <w:b/>
          <w:bCs/>
          <w:i/>
          <w:iCs/>
        </w:rPr>
        <w:t xml:space="preserve">requirements, </w:t>
      </w:r>
      <w:r w:rsidR="00EB280B" w:rsidRPr="004926B7">
        <w:rPr>
          <w:b/>
          <w:bCs/>
          <w:i/>
          <w:iCs/>
        </w:rPr>
        <w:t xml:space="preserve">a new spectrum emissions mask can be derived depending on whether the existing spectrum emissions mask is met </w:t>
      </w:r>
      <w:r w:rsidR="00811EEF" w:rsidRPr="004926B7">
        <w:rPr>
          <w:b/>
          <w:bCs/>
          <w:i/>
          <w:iCs/>
        </w:rPr>
        <w:t>with the expected ACLR requirement at each power class.</w:t>
      </w:r>
    </w:p>
    <w:p w14:paraId="7600E72F" w14:textId="228F43F3" w:rsidR="00ED7626" w:rsidRDefault="00ED7626" w:rsidP="00ED7626">
      <w:pPr>
        <w:pStyle w:val="Heading1"/>
        <w:numPr>
          <w:ilvl w:val="0"/>
          <w:numId w:val="3"/>
        </w:numPr>
        <w:rPr>
          <w:lang w:val="sv-FI"/>
        </w:rPr>
      </w:pPr>
      <w:r>
        <w:rPr>
          <w:lang w:val="sv-FI"/>
        </w:rPr>
        <w:t>Coexistence Study Input</w:t>
      </w:r>
    </w:p>
    <w:p w14:paraId="0D7A9C1B" w14:textId="3BB567ED" w:rsidR="00811EEF" w:rsidRDefault="00811EEF" w:rsidP="00811EEF">
      <w:pPr>
        <w:pStyle w:val="Heading2"/>
        <w:numPr>
          <w:ilvl w:val="1"/>
          <w:numId w:val="3"/>
        </w:numPr>
        <w:rPr>
          <w:lang w:val="sv-FI"/>
        </w:rPr>
      </w:pPr>
      <w:r>
        <w:rPr>
          <w:lang w:val="sv-FI"/>
        </w:rPr>
        <w:t>Band 255 Coexistence Analysis</w:t>
      </w:r>
    </w:p>
    <w:p w14:paraId="21119CB4" w14:textId="767DBD29" w:rsidR="00811EEF" w:rsidRDefault="00811EEF" w:rsidP="00811EEF">
      <w:r w:rsidRPr="00811EEF">
        <w:t>Consider the following band</w:t>
      </w:r>
      <w:r>
        <w:t xml:space="preserve"> plan for band 255</w:t>
      </w:r>
      <w:r w:rsidR="001B6C7E">
        <w:t xml:space="preserve"> and band 253:</w:t>
      </w:r>
    </w:p>
    <w:p w14:paraId="2333D3E0" w14:textId="77777777" w:rsidR="001B6C7E" w:rsidRDefault="001B6C7E" w:rsidP="001B6C7E">
      <w:pPr>
        <w:keepNext/>
        <w:jc w:val="center"/>
      </w:pPr>
      <w:r>
        <w:rPr>
          <w:noProof/>
          <w:lang w:eastAsia="en-US"/>
        </w:rPr>
        <w:drawing>
          <wp:inline distT="0" distB="0" distL="0" distR="0" wp14:anchorId="012E6754" wp14:editId="4B187B00">
            <wp:extent cx="5143500" cy="2286000"/>
            <wp:effectExtent l="0" t="0" r="0" b="0"/>
            <wp:docPr id="558260207"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Grp="1"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3500" cy="2286000"/>
                    </a:xfrm>
                    <a:prstGeom prst="rect">
                      <a:avLst/>
                    </a:prstGeom>
                    <a:noFill/>
                    <a:ln>
                      <a:noFill/>
                    </a:ln>
                  </pic:spPr>
                </pic:pic>
              </a:graphicData>
            </a:graphic>
          </wp:inline>
        </w:drawing>
      </w:r>
    </w:p>
    <w:p w14:paraId="26F0DBD6" w14:textId="0AD47672" w:rsidR="001B6C7E" w:rsidRDefault="001B6C7E" w:rsidP="001B6C7E">
      <w:pPr>
        <w:pStyle w:val="Caption"/>
        <w:jc w:val="center"/>
      </w:pPr>
      <w:r>
        <w:t xml:space="preserve">Figure </w:t>
      </w:r>
      <w:r>
        <w:fldChar w:fldCharType="begin"/>
      </w:r>
      <w:r>
        <w:instrText xml:space="preserve"> SEQ Figure \* ARABIC </w:instrText>
      </w:r>
      <w:r>
        <w:fldChar w:fldCharType="separate"/>
      </w:r>
      <w:r w:rsidR="005966FF">
        <w:rPr>
          <w:noProof/>
        </w:rPr>
        <w:t>1</w:t>
      </w:r>
      <w:r>
        <w:fldChar w:fldCharType="end"/>
      </w:r>
      <w:r>
        <w:t xml:space="preserve"> Band 255 / Band 253 band plan</w:t>
      </w:r>
    </w:p>
    <w:p w14:paraId="2E3D0FED" w14:textId="5EBE7298" w:rsidR="001B6C7E" w:rsidRDefault="00B84D6C" w:rsidP="001B6C7E">
      <w:r>
        <w:t xml:space="preserve">For HPUE, the only thing changing with respect to </w:t>
      </w:r>
      <w:r w:rsidR="00E76B7E">
        <w:t>coexistence scenarios is the UE UL power</w:t>
      </w:r>
      <w:r w:rsidR="00DB7AED">
        <w:t xml:space="preserve">. </w:t>
      </w:r>
      <w:r w:rsidR="005966FF">
        <w:t>As seen in Figure 1, for UE UL in band 255 / band 253, there is only one TN band, n70, which is potentially of concern</w:t>
      </w:r>
      <w:r w:rsidR="005207BC">
        <w:t xml:space="preserve"> 35MHz away from band 255 edge and 20MHz away from band 253 edge</w:t>
      </w:r>
      <w:r w:rsidR="00944070">
        <w:t>.</w:t>
      </w:r>
      <w:r w:rsidR="00DB7AED">
        <w:t xml:space="preserve"> </w:t>
      </w:r>
      <w:r w:rsidR="00151151">
        <w:t xml:space="preserve">On the other hand there are several TN bands very close to the NTN downlink. </w:t>
      </w:r>
      <w:r w:rsidR="00DB7AED">
        <w:t>Therefore</w:t>
      </w:r>
      <w:r w:rsidR="00511EE4">
        <w:t>,</w:t>
      </w:r>
      <w:r w:rsidR="00DB7AED">
        <w:t xml:space="preserve"> the only coexistence scenario</w:t>
      </w:r>
      <w:r w:rsidR="002F477C">
        <w:t>s</w:t>
      </w:r>
      <w:r w:rsidR="00DB7AED">
        <w:t xml:space="preserve"> worth considering for bands 255/256 </w:t>
      </w:r>
      <w:r w:rsidR="002F477C">
        <w:t>are</w:t>
      </w:r>
      <w:r w:rsidR="00DB7AED">
        <w:t xml:space="preserve"> </w:t>
      </w:r>
      <w:r w:rsidR="00A30F6A">
        <w:t>scenario</w:t>
      </w:r>
      <w:r w:rsidR="002F477C">
        <w:t>s 2 and</w:t>
      </w:r>
      <w:r w:rsidR="00A30F6A">
        <w:t xml:space="preserve"> 4 as per TR 38.863</w:t>
      </w:r>
      <w:r w:rsidR="002F477C">
        <w:t>.</w:t>
      </w:r>
      <w:r w:rsidR="00EC7FC3">
        <w:t xml:space="preserve"> </w:t>
      </w:r>
    </w:p>
    <w:p w14:paraId="17914530" w14:textId="0AFB46A2" w:rsidR="00944070" w:rsidRPr="001950E4" w:rsidRDefault="00944070" w:rsidP="001B6C7E">
      <w:pPr>
        <w:rPr>
          <w:b/>
          <w:bCs/>
          <w:i/>
          <w:iCs/>
        </w:rPr>
      </w:pPr>
      <w:r w:rsidRPr="001950E4">
        <w:rPr>
          <w:b/>
          <w:bCs/>
          <w:i/>
          <w:iCs/>
        </w:rPr>
        <w:t xml:space="preserve">Observation 7: </w:t>
      </w:r>
      <w:r w:rsidR="004972D6" w:rsidRPr="001950E4">
        <w:rPr>
          <w:b/>
          <w:bCs/>
          <w:i/>
          <w:iCs/>
        </w:rPr>
        <w:t>for band 255/253 UL, there is only one TN band within 50MHz from the band edge which must be protected. Therefore</w:t>
      </w:r>
      <w:r w:rsidR="00391AB3">
        <w:rPr>
          <w:b/>
          <w:i/>
        </w:rPr>
        <w:t>,</w:t>
      </w:r>
      <w:r w:rsidR="004972D6" w:rsidRPr="001950E4">
        <w:rPr>
          <w:b/>
          <w:bCs/>
          <w:i/>
          <w:iCs/>
        </w:rPr>
        <w:t xml:space="preserve"> the coexistence study limits for HPUE in these bands can be more relaxed</w:t>
      </w:r>
      <w:r w:rsidR="00391AB3">
        <w:rPr>
          <w:b/>
          <w:i/>
        </w:rPr>
        <w:t>, and the UE TX requirements derived will likely not be based on the TN-NTN coexistence</w:t>
      </w:r>
      <w:r w:rsidR="004972D6" w:rsidRPr="001950E4">
        <w:rPr>
          <w:b/>
          <w:bCs/>
          <w:i/>
          <w:iCs/>
        </w:rPr>
        <w:t>.</w:t>
      </w:r>
    </w:p>
    <w:p w14:paraId="5100CBA9" w14:textId="30F5B8B3" w:rsidR="00391AB3" w:rsidRPr="001950E4" w:rsidRDefault="00391AB3" w:rsidP="001B6C7E">
      <w:pPr>
        <w:rPr>
          <w:b/>
          <w:i/>
        </w:rPr>
      </w:pPr>
      <w:r>
        <w:rPr>
          <w:b/>
          <w:i/>
        </w:rPr>
        <w:t xml:space="preserve">Observation 8: In case UE ACS values are studied, for bands 255/253, the </w:t>
      </w:r>
      <w:r w:rsidR="002E2761">
        <w:rPr>
          <w:b/>
          <w:i/>
        </w:rPr>
        <w:t>only scenarios that would need to be considered are those where NTN is the victim</w:t>
      </w:r>
      <w:r w:rsidR="00144314">
        <w:rPr>
          <w:b/>
          <w:i/>
        </w:rPr>
        <w:t>, such as scenario 1 and a new scenario that has not yet been captured in TR 38.863, which would include a TN UL as the aggressor</w:t>
      </w:r>
      <w:r w:rsidR="002E2761">
        <w:rPr>
          <w:b/>
          <w:i/>
        </w:rPr>
        <w:t>.</w:t>
      </w:r>
    </w:p>
    <w:p w14:paraId="7B28C596" w14:textId="0FB99CBB" w:rsidR="00F679BB" w:rsidRPr="001950E4" w:rsidRDefault="00F679BB" w:rsidP="001B6C7E">
      <w:pPr>
        <w:rPr>
          <w:b/>
          <w:bCs/>
          <w:i/>
          <w:iCs/>
        </w:rPr>
      </w:pPr>
      <w:r w:rsidRPr="001950E4">
        <w:rPr>
          <w:b/>
          <w:bCs/>
          <w:i/>
          <w:iCs/>
        </w:rPr>
        <w:t>Proposal 8: for band 255/253 HPUE coexistence scenario only consider scenarios 2 and 4 as per TR 38.863.</w:t>
      </w:r>
      <w:r w:rsidR="00F97636" w:rsidRPr="001950E4">
        <w:rPr>
          <w:b/>
          <w:bCs/>
          <w:i/>
          <w:iCs/>
        </w:rPr>
        <w:t xml:space="preserve"> </w:t>
      </w:r>
    </w:p>
    <w:p w14:paraId="02B92AF4" w14:textId="64E09B0A" w:rsidR="00E33836" w:rsidRPr="001950E4" w:rsidRDefault="00E33836" w:rsidP="001B6C7E">
      <w:pPr>
        <w:rPr>
          <w:b/>
          <w:i/>
        </w:rPr>
      </w:pPr>
      <w:r>
        <w:rPr>
          <w:b/>
          <w:i/>
        </w:rPr>
        <w:t xml:space="preserve">Proposal 9: For bands 255/253, HPUE </w:t>
      </w:r>
      <w:r w:rsidR="009A10E5">
        <w:rPr>
          <w:b/>
          <w:i/>
        </w:rPr>
        <w:t>UL/TX</w:t>
      </w:r>
      <w:r>
        <w:rPr>
          <w:b/>
          <w:i/>
        </w:rPr>
        <w:t xml:space="preserve"> requirements </w:t>
      </w:r>
      <w:r w:rsidR="009A10E5">
        <w:rPr>
          <w:b/>
          <w:i/>
        </w:rPr>
        <w:t>should not</w:t>
      </w:r>
      <w:r>
        <w:rPr>
          <w:b/>
          <w:i/>
        </w:rPr>
        <w:t xml:space="preserve"> be driven by TN-NTN coexistence</w:t>
      </w:r>
      <w:r w:rsidR="009A10E5">
        <w:rPr>
          <w:b/>
          <w:i/>
        </w:rPr>
        <w:t>.</w:t>
      </w:r>
    </w:p>
    <w:p w14:paraId="3BFA64A6" w14:textId="540EF4E2" w:rsidR="004972D6" w:rsidRPr="00687A1C" w:rsidRDefault="004972D6" w:rsidP="001B6C7E">
      <w:r w:rsidRPr="00687A1C">
        <w:t>Comparing this band plan with the band plan for band 256:</w:t>
      </w:r>
    </w:p>
    <w:p w14:paraId="33BDA158" w14:textId="77777777" w:rsidR="005966FF" w:rsidRDefault="005966FF" w:rsidP="005966FF">
      <w:pPr>
        <w:keepNext/>
      </w:pPr>
      <w:r>
        <w:rPr>
          <w:noProof/>
        </w:rPr>
        <w:drawing>
          <wp:inline distT="0" distB="0" distL="0" distR="0" wp14:anchorId="08F64B31" wp14:editId="6A43C3C9">
            <wp:extent cx="6115050" cy="3019425"/>
            <wp:effectExtent l="0" t="0" r="0" b="9525"/>
            <wp:docPr id="1178712945" name="Picture 2" descr="A chart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712945" name="Picture 2" descr="A chart with numbers and lines&#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019425"/>
                    </a:xfrm>
                    <a:prstGeom prst="rect">
                      <a:avLst/>
                    </a:prstGeom>
                    <a:noFill/>
                    <a:ln>
                      <a:noFill/>
                    </a:ln>
                  </pic:spPr>
                </pic:pic>
              </a:graphicData>
            </a:graphic>
          </wp:inline>
        </w:drawing>
      </w:r>
    </w:p>
    <w:p w14:paraId="6C5FB816" w14:textId="2B075119" w:rsidR="00E76B7E" w:rsidRDefault="005966FF" w:rsidP="005966F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Band 256 band plan</w:t>
      </w:r>
    </w:p>
    <w:p w14:paraId="38CE83DC" w14:textId="7FBEBED1" w:rsidR="004972D6" w:rsidRDefault="004972D6" w:rsidP="004972D6">
      <w:r>
        <w:t xml:space="preserve">It can be seen that there are many overlapping / adjacent bands </w:t>
      </w:r>
      <w:r w:rsidR="007F3442">
        <w:t>that are much closer to the band 256 uplink</w:t>
      </w:r>
      <w:r w:rsidR="007E6027">
        <w:t xml:space="preserve">. Therefore </w:t>
      </w:r>
      <w:r w:rsidR="00374BCF">
        <w:t xml:space="preserve">many scenarios for coexistence must be considered, and the requirements will not be as </w:t>
      </w:r>
      <w:r w:rsidR="00355E78">
        <w:t>relaxed</w:t>
      </w:r>
      <w:r w:rsidR="00374BCF">
        <w:t xml:space="preserve"> when compared to bands 255/253.</w:t>
      </w:r>
    </w:p>
    <w:p w14:paraId="6EC862A9" w14:textId="0F10C2AF" w:rsidR="00355E78" w:rsidRPr="001950E4" w:rsidRDefault="00355E78" w:rsidP="004972D6">
      <w:pPr>
        <w:rPr>
          <w:b/>
          <w:bCs/>
          <w:i/>
          <w:iCs/>
        </w:rPr>
      </w:pPr>
      <w:r w:rsidRPr="001950E4">
        <w:rPr>
          <w:b/>
          <w:bCs/>
          <w:i/>
          <w:iCs/>
        </w:rPr>
        <w:t xml:space="preserve">Observation </w:t>
      </w:r>
      <w:r w:rsidR="00712092">
        <w:rPr>
          <w:b/>
          <w:bCs/>
          <w:i/>
          <w:iCs/>
        </w:rPr>
        <w:t>9</w:t>
      </w:r>
      <w:r w:rsidRPr="001950E4">
        <w:rPr>
          <w:b/>
          <w:bCs/>
          <w:i/>
          <w:iCs/>
        </w:rPr>
        <w:t xml:space="preserve">: for band 256 there are </w:t>
      </w:r>
      <w:r w:rsidR="009A10E5">
        <w:rPr>
          <w:b/>
          <w:i/>
        </w:rPr>
        <w:t xml:space="preserve">a number of </w:t>
      </w:r>
      <w:r w:rsidRPr="001950E4">
        <w:rPr>
          <w:b/>
          <w:bCs/>
          <w:i/>
          <w:iCs/>
        </w:rPr>
        <w:t xml:space="preserve"> TN bands overlapping / adjacent to the NTN UL band</w:t>
      </w:r>
      <w:r w:rsidR="00F760B8" w:rsidRPr="001950E4">
        <w:rPr>
          <w:b/>
          <w:bCs/>
          <w:i/>
          <w:iCs/>
        </w:rPr>
        <w:t xml:space="preserve">, therefore when compared to bands 255/253 the </w:t>
      </w:r>
      <w:r w:rsidR="00144314">
        <w:rPr>
          <w:b/>
          <w:i/>
        </w:rPr>
        <w:t xml:space="preserve">general requirements may be driven by the </w:t>
      </w:r>
      <w:r w:rsidR="00F760B8" w:rsidRPr="001950E4">
        <w:rPr>
          <w:b/>
          <w:bCs/>
          <w:i/>
          <w:iCs/>
        </w:rPr>
        <w:t xml:space="preserve">coexistence </w:t>
      </w:r>
      <w:r w:rsidR="00144314">
        <w:rPr>
          <w:b/>
          <w:i/>
        </w:rPr>
        <w:t>analysis</w:t>
      </w:r>
      <w:r w:rsidR="00F97636" w:rsidRPr="001950E4">
        <w:rPr>
          <w:b/>
          <w:bCs/>
          <w:i/>
          <w:iCs/>
        </w:rPr>
        <w:t>.</w:t>
      </w:r>
    </w:p>
    <w:p w14:paraId="69A27753" w14:textId="1F020891" w:rsidR="00FB5B05" w:rsidRDefault="00FB5B05" w:rsidP="00ED7626">
      <w:pPr>
        <w:pStyle w:val="Heading1"/>
        <w:numPr>
          <w:ilvl w:val="0"/>
          <w:numId w:val="3"/>
        </w:numPr>
      </w:pPr>
      <w:r>
        <w:t>Conclusions</w:t>
      </w:r>
    </w:p>
    <w:p w14:paraId="66F0C863" w14:textId="77777777" w:rsidR="003F737C" w:rsidRPr="003F737C" w:rsidRDefault="003F737C" w:rsidP="003F737C">
      <w:pPr>
        <w:rPr>
          <w:i/>
          <w:iCs/>
        </w:rPr>
      </w:pPr>
      <w:r w:rsidRPr="003F737C">
        <w:rPr>
          <w:b/>
          <w:bCs/>
          <w:i/>
          <w:iCs/>
        </w:rPr>
        <w:t>Proposal 1: ETSI EN 301 681 shall be used to assess the regulatory compliance of HPUE operating in bands n253 and n255, including ACLR and SEM.</w:t>
      </w:r>
    </w:p>
    <w:p w14:paraId="128C5CCA" w14:textId="77777777" w:rsidR="003F737C" w:rsidRDefault="003F737C" w:rsidP="003F737C">
      <w:pPr>
        <w:rPr>
          <w:b/>
          <w:bCs/>
          <w:i/>
          <w:iCs/>
          <w:lang w:eastAsia="en-US"/>
        </w:rPr>
      </w:pPr>
      <w:r w:rsidRPr="0017258F">
        <w:rPr>
          <w:b/>
          <w:bCs/>
          <w:i/>
          <w:iCs/>
          <w:lang w:eastAsia="en-US"/>
        </w:rPr>
        <w:t xml:space="preserve">Proposal 2: </w:t>
      </w:r>
      <w:r w:rsidRPr="004926B7">
        <w:rPr>
          <w:b/>
          <w:bCs/>
          <w:i/>
          <w:iCs/>
          <w:lang w:eastAsia="en-US"/>
        </w:rPr>
        <w:t>ETSI EN 301 681 can be used to inform system design features for the protection of the radio astronomy bands at 1660-1660.5MHz and 1668-1670MHz.</w:t>
      </w:r>
    </w:p>
    <w:p w14:paraId="7967841B" w14:textId="77777777" w:rsidR="003F737C" w:rsidRDefault="003F737C" w:rsidP="003F737C">
      <w:pPr>
        <w:rPr>
          <w:i/>
          <w:iCs/>
        </w:rPr>
      </w:pPr>
      <w:r>
        <w:rPr>
          <w:b/>
          <w:bCs/>
          <w:i/>
          <w:iCs/>
        </w:rPr>
        <w:t xml:space="preserve">Proposal 3: </w:t>
      </w:r>
      <w:r w:rsidRPr="004926B7">
        <w:rPr>
          <w:b/>
          <w:bCs/>
          <w:i/>
          <w:iCs/>
        </w:rPr>
        <w:t>ETSI EN 301 574 Part 2 shall be used to assess the regulatory compliance of NR HPUE operating in band n256, including ACLR and SEM.</w:t>
      </w:r>
    </w:p>
    <w:p w14:paraId="04E9728C" w14:textId="77777777" w:rsidR="00F8146E" w:rsidRPr="003B341B" w:rsidRDefault="00F8146E" w:rsidP="00F8146E">
      <w:pPr>
        <w:rPr>
          <w:b/>
          <w:i/>
        </w:rPr>
      </w:pPr>
      <w:r>
        <w:rPr>
          <w:b/>
          <w:bCs/>
          <w:i/>
          <w:iCs/>
        </w:rPr>
        <w:t xml:space="preserve">Proposal 4: </w:t>
      </w:r>
      <w:r w:rsidRPr="003B341B">
        <w:rPr>
          <w:b/>
          <w:i/>
        </w:rPr>
        <w:t xml:space="preserve">ETSI EN 301 574 Part 3 shall be used to assess the regulatory compliance of NB-IoT HPUE operating in band n256, including ACLR </w:t>
      </w:r>
      <w:r w:rsidRPr="003B341B">
        <w:rPr>
          <w:b/>
          <w:bCs/>
          <w:i/>
          <w:iCs/>
        </w:rPr>
        <w:t>and SEM</w:t>
      </w:r>
      <w:r w:rsidRPr="003B341B">
        <w:rPr>
          <w:b/>
          <w:i/>
        </w:rPr>
        <w:t>.</w:t>
      </w:r>
    </w:p>
    <w:p w14:paraId="54942602" w14:textId="77777777" w:rsidR="00F8146E" w:rsidRPr="004926B7" w:rsidRDefault="00F8146E" w:rsidP="00F8146E">
      <w:pPr>
        <w:rPr>
          <w:b/>
          <w:bCs/>
          <w:i/>
          <w:iCs/>
        </w:rPr>
      </w:pPr>
      <w:r w:rsidRPr="004926B7">
        <w:rPr>
          <w:b/>
          <w:bCs/>
          <w:i/>
          <w:iCs/>
        </w:rPr>
        <w:t>Proposal 5: FCC Part 25 clause 202 shall be used to assess the regulatory compliance of bands 253, 255 and 256, and shall be used to inform decisions on spectrum emissions related requirements such as ACLR and SEM.</w:t>
      </w:r>
    </w:p>
    <w:p w14:paraId="2AA50B3D" w14:textId="77777777" w:rsidR="00F8146E" w:rsidRPr="00A54FDF" w:rsidRDefault="00F8146E" w:rsidP="00F8146E">
      <w:pPr>
        <w:rPr>
          <w:b/>
          <w:i/>
        </w:rPr>
      </w:pPr>
      <w:r>
        <w:rPr>
          <w:b/>
          <w:bCs/>
          <w:i/>
          <w:iCs/>
        </w:rPr>
        <w:t xml:space="preserve">Proposal 6: </w:t>
      </w:r>
      <w:r w:rsidRPr="00A54FDF">
        <w:rPr>
          <w:b/>
          <w:i/>
        </w:rPr>
        <w:t>The spectrum emissions masks in the regulatory standards will be used to derive the minimum ACLR requirements for NB-IoT and NR NTN, as this allows us to retain the benefit of power gains made from HPUE without mandating a high value for A-MPR.</w:t>
      </w:r>
    </w:p>
    <w:p w14:paraId="39C59BE2" w14:textId="77777777" w:rsidR="00F8146E" w:rsidRPr="004926B7" w:rsidRDefault="00F8146E" w:rsidP="00F8146E">
      <w:pPr>
        <w:rPr>
          <w:b/>
          <w:bCs/>
          <w:i/>
          <w:iCs/>
        </w:rPr>
      </w:pPr>
      <w:r w:rsidRPr="004926B7">
        <w:rPr>
          <w:b/>
          <w:bCs/>
          <w:i/>
          <w:iCs/>
        </w:rPr>
        <w:t>Proposal 7: Depending on the findings of the ACLR study based on regulatory requirements, a new spectrum emissions mask can be derived depending on whether the existing spectrum emissions mask is met with the expected ACLR requirement at each power class.</w:t>
      </w:r>
    </w:p>
    <w:p w14:paraId="7F3B7546" w14:textId="77777777" w:rsidR="00F8146E" w:rsidRPr="001950E4" w:rsidRDefault="00F8146E" w:rsidP="00F8146E">
      <w:pPr>
        <w:rPr>
          <w:b/>
          <w:bCs/>
          <w:i/>
          <w:iCs/>
        </w:rPr>
      </w:pPr>
      <w:r w:rsidRPr="001950E4">
        <w:rPr>
          <w:b/>
          <w:bCs/>
          <w:i/>
          <w:iCs/>
        </w:rPr>
        <w:t xml:space="preserve">Proposal 8: for band 255/253 HPUE coexistence scenario only consider scenarios 2 and 4 as per TR 38.863. </w:t>
      </w:r>
    </w:p>
    <w:p w14:paraId="4AFA5101" w14:textId="77777777" w:rsidR="00F8146E" w:rsidRPr="001950E4" w:rsidRDefault="00F8146E" w:rsidP="00F8146E">
      <w:pPr>
        <w:rPr>
          <w:b/>
          <w:i/>
        </w:rPr>
      </w:pPr>
      <w:r>
        <w:rPr>
          <w:b/>
          <w:i/>
        </w:rPr>
        <w:t>Proposal 9: For bands 255/253, HPUE UL/TX requirements should not be driven by TN-NTN coexistence.</w:t>
      </w:r>
    </w:p>
    <w:p w14:paraId="50FC481E" w14:textId="77777777" w:rsidR="003F737C" w:rsidRPr="009077F0" w:rsidRDefault="003F737C" w:rsidP="003F737C">
      <w:pPr>
        <w:rPr>
          <w:b/>
          <w:i/>
          <w:lang w:eastAsia="en-US"/>
        </w:rPr>
      </w:pPr>
    </w:p>
    <w:p w14:paraId="2A94207B" w14:textId="77777777" w:rsidR="004E50E2" w:rsidRPr="00D01FAB" w:rsidRDefault="004E50E2" w:rsidP="00D01FAB">
      <w:pPr>
        <w:rPr>
          <w:i/>
          <w:iCs/>
        </w:rPr>
      </w:pPr>
    </w:p>
    <w:p w14:paraId="67AF5BF4" w14:textId="77777777" w:rsidR="003F737C" w:rsidRPr="001950E4" w:rsidRDefault="003F737C" w:rsidP="003F737C">
      <w:pPr>
        <w:rPr>
          <w:b/>
          <w:bCs/>
          <w:i/>
          <w:iCs/>
          <w:lang w:eastAsia="en-US"/>
        </w:rPr>
      </w:pPr>
      <w:r w:rsidRPr="001950E4">
        <w:rPr>
          <w:b/>
          <w:bCs/>
          <w:i/>
          <w:iCs/>
          <w:lang w:eastAsia="en-US"/>
        </w:rPr>
        <w:t xml:space="preserve">Observation 1: ETSI EN 301 681 is applicable for UEs with an EIRP of less than 15dBW which is highly likely not </w:t>
      </w:r>
      <w:proofErr w:type="spellStart"/>
      <w:r w:rsidRPr="001950E4">
        <w:rPr>
          <w:b/>
          <w:bCs/>
          <w:i/>
          <w:iCs/>
          <w:lang w:eastAsia="en-US"/>
        </w:rPr>
        <w:t>tbe</w:t>
      </w:r>
      <w:proofErr w:type="spellEnd"/>
      <w:r w:rsidRPr="001950E4">
        <w:rPr>
          <w:b/>
          <w:bCs/>
          <w:i/>
          <w:iCs/>
          <w:lang w:eastAsia="en-US"/>
        </w:rPr>
        <w:t xml:space="preserve"> exceeded by mobile handsets.</w:t>
      </w:r>
    </w:p>
    <w:p w14:paraId="7686F444" w14:textId="77777777" w:rsidR="003F737C" w:rsidRPr="003C0C3F" w:rsidRDefault="003F737C" w:rsidP="003F737C">
      <w:pPr>
        <w:rPr>
          <w:b/>
          <w:i/>
          <w:lang w:eastAsia="en-US"/>
        </w:rPr>
      </w:pPr>
      <w:r>
        <w:rPr>
          <w:b/>
          <w:bCs/>
          <w:i/>
          <w:iCs/>
          <w:lang w:eastAsia="en-US"/>
        </w:rPr>
        <w:t xml:space="preserve">Observation 2: </w:t>
      </w:r>
      <w:r w:rsidRPr="003C0C3F">
        <w:rPr>
          <w:b/>
          <w:i/>
          <w:lang w:eastAsia="en-US"/>
        </w:rPr>
        <w:t>ETSI EN 301 574 Part 2 is only applicable for UE with a channel bandwidth greater than 1MHz.</w:t>
      </w:r>
    </w:p>
    <w:p w14:paraId="04E33838" w14:textId="77777777" w:rsidR="003F737C" w:rsidRPr="00B6388C" w:rsidRDefault="003F737C" w:rsidP="003F737C">
      <w:pPr>
        <w:rPr>
          <w:b/>
          <w:i/>
          <w:lang w:eastAsia="en-US"/>
        </w:rPr>
      </w:pPr>
      <w:r>
        <w:rPr>
          <w:b/>
          <w:bCs/>
          <w:i/>
          <w:iCs/>
          <w:lang w:eastAsia="en-US"/>
        </w:rPr>
        <w:t xml:space="preserve">Observation 3: </w:t>
      </w:r>
      <w:r w:rsidRPr="00B6388C">
        <w:rPr>
          <w:b/>
          <w:i/>
          <w:lang w:eastAsia="en-US"/>
        </w:rPr>
        <w:t>ETSI EN 301 574 Part 3 is only applicable for UE with a channel bandwidth less than 1MHz.</w:t>
      </w:r>
    </w:p>
    <w:p w14:paraId="69B1634E" w14:textId="77777777" w:rsidR="00F8146E" w:rsidRDefault="00F8146E" w:rsidP="00F8146E">
      <w:pPr>
        <w:rPr>
          <w:b/>
          <w:i/>
        </w:rPr>
      </w:pPr>
      <w:r>
        <w:rPr>
          <w:b/>
          <w:bCs/>
          <w:i/>
          <w:iCs/>
        </w:rPr>
        <w:t xml:space="preserve">Observation 4: </w:t>
      </w:r>
      <w:r w:rsidRPr="00A54FDF">
        <w:rPr>
          <w:b/>
          <w:i/>
        </w:rPr>
        <w:t>The ACLR requirements defined for PC1 for TN NR UE are based on a form factor which is larger than that of a mobile handset, thus allowing a higher quality RFFE to be used. This much higher ACLR may not be achievable in a mobile handset form factor at least for certain transmission configurations, such as NR</w:t>
      </w:r>
      <w:r w:rsidRPr="00A54FDF">
        <w:rPr>
          <w:b/>
          <w:bCs/>
          <w:i/>
          <w:iCs/>
        </w:rPr>
        <w:t>, but might be achievable for NB-IoT</w:t>
      </w:r>
      <w:r w:rsidRPr="00A54FDF">
        <w:rPr>
          <w:b/>
          <w:i/>
        </w:rPr>
        <w:t>.</w:t>
      </w:r>
    </w:p>
    <w:p w14:paraId="3F5566FC" w14:textId="77777777" w:rsidR="00F8146E" w:rsidRPr="00A54FDF" w:rsidRDefault="00F8146E" w:rsidP="00F8146E">
      <w:pPr>
        <w:rPr>
          <w:b/>
          <w:i/>
        </w:rPr>
      </w:pPr>
      <w:r>
        <w:rPr>
          <w:b/>
          <w:bCs/>
          <w:i/>
          <w:iCs/>
        </w:rPr>
        <w:t xml:space="preserve">Observation 5: </w:t>
      </w:r>
      <w:r w:rsidRPr="00A54FDF">
        <w:rPr>
          <w:b/>
          <w:i/>
        </w:rPr>
        <w:t>If we define an ACLR that is too low, the UE may not meet regulatory spectrum emissions masks, meaning a higher A-MPR would have to be defined, rendering the increase in power class pointless.</w:t>
      </w:r>
    </w:p>
    <w:p w14:paraId="35D280CE" w14:textId="77777777" w:rsidR="00F8146E" w:rsidRDefault="00F8146E" w:rsidP="00F8146E">
      <w:pPr>
        <w:rPr>
          <w:b/>
          <w:bCs/>
          <w:i/>
          <w:iCs/>
        </w:rPr>
      </w:pPr>
      <w:r w:rsidRPr="004926B7">
        <w:rPr>
          <w:b/>
          <w:bCs/>
          <w:i/>
          <w:iCs/>
        </w:rPr>
        <w:t>Observation 6: For PC1 using the TN ACLR specification, the UE will not struggle to meet the SEM due to the high ACLR value.</w:t>
      </w:r>
    </w:p>
    <w:p w14:paraId="1EEDD7E3" w14:textId="758899E3" w:rsidR="00F8146E" w:rsidRPr="004926B7" w:rsidRDefault="00F8146E" w:rsidP="00F8146E">
      <w:pPr>
        <w:rPr>
          <w:b/>
          <w:bCs/>
          <w:i/>
          <w:iCs/>
        </w:rPr>
      </w:pPr>
      <w:r w:rsidRPr="001950E4">
        <w:rPr>
          <w:b/>
          <w:bCs/>
          <w:i/>
          <w:iCs/>
        </w:rPr>
        <w:t>Observation 7: for band 255/253 UL, there is only one TN band within 50MHz from the band edge which must be protected. Therefore</w:t>
      </w:r>
      <w:r>
        <w:rPr>
          <w:b/>
          <w:i/>
        </w:rPr>
        <w:t>,</w:t>
      </w:r>
      <w:r w:rsidRPr="001950E4">
        <w:rPr>
          <w:b/>
          <w:bCs/>
          <w:i/>
          <w:iCs/>
        </w:rPr>
        <w:t xml:space="preserve"> the coexistence study limits for HPUE in these bands can be more relaxed</w:t>
      </w:r>
      <w:r>
        <w:rPr>
          <w:b/>
          <w:i/>
        </w:rPr>
        <w:t>, and the UE TX requirements derived will likely not be based on the TN-NTN coexistence</w:t>
      </w:r>
      <w:r w:rsidRPr="001950E4">
        <w:rPr>
          <w:b/>
          <w:bCs/>
          <w:i/>
          <w:iCs/>
        </w:rPr>
        <w:t>.</w:t>
      </w:r>
    </w:p>
    <w:p w14:paraId="4E595710" w14:textId="77777777" w:rsidR="00F8146E" w:rsidRPr="001950E4" w:rsidRDefault="00F8146E" w:rsidP="00F8146E">
      <w:pPr>
        <w:rPr>
          <w:b/>
          <w:i/>
        </w:rPr>
      </w:pPr>
      <w:r>
        <w:rPr>
          <w:b/>
          <w:i/>
        </w:rPr>
        <w:t>Observation 8: In case UE ACS values are studied, for bands 255/253, the only scenarios that would need to be considered are those where NTN is the victim, such as scenario 1 and a new scenario that has not yet been captured in TR 38.863, which would include a TN UL as the aggressor.</w:t>
      </w:r>
    </w:p>
    <w:p w14:paraId="4A266DF7" w14:textId="77777777" w:rsidR="00F8146E" w:rsidRPr="00A54FDF" w:rsidRDefault="00F8146E" w:rsidP="00F8146E">
      <w:pPr>
        <w:rPr>
          <w:b/>
          <w:i/>
        </w:rPr>
      </w:pPr>
    </w:p>
    <w:p w14:paraId="329FC231" w14:textId="77777777" w:rsidR="00415904" w:rsidRPr="00FB5B05" w:rsidRDefault="00415904" w:rsidP="00DB53D4"/>
    <w:p w14:paraId="389BEA97" w14:textId="77777777" w:rsidR="00C165C9" w:rsidRPr="00C165C9" w:rsidRDefault="00C165C9" w:rsidP="00C165C9"/>
    <w:p w14:paraId="75D02F8B" w14:textId="77777777" w:rsidR="00EF79E3" w:rsidRDefault="00EF79E3"/>
    <w:sectPr w:rsidR="00EF79E3">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6E45D" w14:textId="77777777" w:rsidR="00FD18AD" w:rsidRDefault="00FD18AD">
      <w:pPr>
        <w:spacing w:after="0"/>
      </w:pPr>
      <w:r>
        <w:separator/>
      </w:r>
    </w:p>
  </w:endnote>
  <w:endnote w:type="continuationSeparator" w:id="0">
    <w:p w14:paraId="6C9BCB6D" w14:textId="77777777" w:rsidR="00FD18AD" w:rsidRDefault="00FD18AD">
      <w:pPr>
        <w:spacing w:after="0"/>
      </w:pPr>
      <w:r>
        <w:continuationSeparator/>
      </w:r>
    </w:p>
  </w:endnote>
  <w:endnote w:type="continuationNotice" w:id="1">
    <w:p w14:paraId="0E697C65" w14:textId="77777777" w:rsidR="00FD18AD" w:rsidRDefault="00FD1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3978C" w14:textId="77777777" w:rsidR="00FD18AD" w:rsidRDefault="00FD18AD">
      <w:pPr>
        <w:spacing w:after="0"/>
      </w:pPr>
      <w:r>
        <w:separator/>
      </w:r>
    </w:p>
  </w:footnote>
  <w:footnote w:type="continuationSeparator" w:id="0">
    <w:p w14:paraId="30AC8020" w14:textId="77777777" w:rsidR="00FD18AD" w:rsidRDefault="00FD18AD">
      <w:pPr>
        <w:spacing w:after="0"/>
      </w:pPr>
      <w:r>
        <w:continuationSeparator/>
      </w:r>
    </w:p>
  </w:footnote>
  <w:footnote w:type="continuationNotice" w:id="1">
    <w:p w14:paraId="1F7D88D9" w14:textId="77777777" w:rsidR="00FD18AD" w:rsidRDefault="00FD1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964EF" w14:textId="77777777" w:rsidR="00EF79E3" w:rsidRDefault="00EF7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F1969"/>
    <w:multiLevelType w:val="multilevel"/>
    <w:tmpl w:val="4516CC6C"/>
    <w:lvl w:ilvl="0">
      <w:start w:val="4"/>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A2538D"/>
    <w:multiLevelType w:val="hybridMultilevel"/>
    <w:tmpl w:val="0C380A8A"/>
    <w:lvl w:ilvl="0" w:tplc="9612B97A">
      <w:numFmt w:val="bullet"/>
      <w:lvlText w:val="-"/>
      <w:lvlJc w:val="left"/>
      <w:pPr>
        <w:ind w:left="1267" w:hanging="360"/>
      </w:pPr>
      <w:rPr>
        <w:rFonts w:ascii="Arial" w:eastAsiaTheme="minorHAnsi" w:hAnsi="Arial" w:cs="Arial" w:hint="default"/>
      </w:rPr>
    </w:lvl>
    <w:lvl w:ilvl="1" w:tplc="08090003">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16cid:durableId="873226880">
    <w:abstractNumId w:val="1"/>
  </w:num>
  <w:num w:numId="2" w16cid:durableId="1422875722">
    <w:abstractNumId w:val="2"/>
  </w:num>
  <w:num w:numId="3" w16cid:durableId="1740512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9E3"/>
    <w:rsid w:val="0005442F"/>
    <w:rsid w:val="000611C6"/>
    <w:rsid w:val="000744A6"/>
    <w:rsid w:val="00092E86"/>
    <w:rsid w:val="00096BA5"/>
    <w:rsid w:val="000A132F"/>
    <w:rsid w:val="00123A48"/>
    <w:rsid w:val="00132E67"/>
    <w:rsid w:val="00144314"/>
    <w:rsid w:val="00151151"/>
    <w:rsid w:val="001666BD"/>
    <w:rsid w:val="0017258F"/>
    <w:rsid w:val="001950E4"/>
    <w:rsid w:val="00195C4D"/>
    <w:rsid w:val="00196826"/>
    <w:rsid w:val="001A19DE"/>
    <w:rsid w:val="001A7996"/>
    <w:rsid w:val="001B6C7E"/>
    <w:rsid w:val="00200A9D"/>
    <w:rsid w:val="002016A9"/>
    <w:rsid w:val="00206456"/>
    <w:rsid w:val="002213A3"/>
    <w:rsid w:val="00221FAD"/>
    <w:rsid w:val="00253847"/>
    <w:rsid w:val="002608DB"/>
    <w:rsid w:val="002D71FF"/>
    <w:rsid w:val="002E2761"/>
    <w:rsid w:val="002F477C"/>
    <w:rsid w:val="00306BE1"/>
    <w:rsid w:val="00336DE7"/>
    <w:rsid w:val="00355E78"/>
    <w:rsid w:val="00374BCF"/>
    <w:rsid w:val="0037563E"/>
    <w:rsid w:val="00391AB3"/>
    <w:rsid w:val="003A08C3"/>
    <w:rsid w:val="003B341B"/>
    <w:rsid w:val="003C0C3F"/>
    <w:rsid w:val="003C3EC6"/>
    <w:rsid w:val="003D1234"/>
    <w:rsid w:val="003E07CE"/>
    <w:rsid w:val="003F108C"/>
    <w:rsid w:val="003F737C"/>
    <w:rsid w:val="003F7C1E"/>
    <w:rsid w:val="00413B04"/>
    <w:rsid w:val="00415904"/>
    <w:rsid w:val="00432AD8"/>
    <w:rsid w:val="00462E48"/>
    <w:rsid w:val="004767DC"/>
    <w:rsid w:val="004926B7"/>
    <w:rsid w:val="0049614D"/>
    <w:rsid w:val="004972D6"/>
    <w:rsid w:val="004B1BD7"/>
    <w:rsid w:val="004B4A2C"/>
    <w:rsid w:val="004C5511"/>
    <w:rsid w:val="004E50E2"/>
    <w:rsid w:val="004E5279"/>
    <w:rsid w:val="00505CA9"/>
    <w:rsid w:val="00511EE4"/>
    <w:rsid w:val="00513CDD"/>
    <w:rsid w:val="005207BC"/>
    <w:rsid w:val="00534FCD"/>
    <w:rsid w:val="00545A53"/>
    <w:rsid w:val="00547BBA"/>
    <w:rsid w:val="0055097D"/>
    <w:rsid w:val="00563150"/>
    <w:rsid w:val="00592783"/>
    <w:rsid w:val="005966FF"/>
    <w:rsid w:val="005A167E"/>
    <w:rsid w:val="005A2CEC"/>
    <w:rsid w:val="005C637D"/>
    <w:rsid w:val="005D6712"/>
    <w:rsid w:val="00602FE7"/>
    <w:rsid w:val="006047B3"/>
    <w:rsid w:val="00687A1C"/>
    <w:rsid w:val="006A2965"/>
    <w:rsid w:val="006B49B0"/>
    <w:rsid w:val="006C170F"/>
    <w:rsid w:val="00712092"/>
    <w:rsid w:val="00714F6D"/>
    <w:rsid w:val="00717E7F"/>
    <w:rsid w:val="00747942"/>
    <w:rsid w:val="00760CF0"/>
    <w:rsid w:val="0079780C"/>
    <w:rsid w:val="007A12FC"/>
    <w:rsid w:val="007B0C9B"/>
    <w:rsid w:val="007B28DA"/>
    <w:rsid w:val="007C22BD"/>
    <w:rsid w:val="007E6027"/>
    <w:rsid w:val="007E7ED5"/>
    <w:rsid w:val="007F3442"/>
    <w:rsid w:val="007F7674"/>
    <w:rsid w:val="00807A21"/>
    <w:rsid w:val="00811EEF"/>
    <w:rsid w:val="008153A7"/>
    <w:rsid w:val="008277C2"/>
    <w:rsid w:val="008A7E68"/>
    <w:rsid w:val="008B6FED"/>
    <w:rsid w:val="008B7A80"/>
    <w:rsid w:val="008E5FA0"/>
    <w:rsid w:val="008F0020"/>
    <w:rsid w:val="009077F0"/>
    <w:rsid w:val="009244F9"/>
    <w:rsid w:val="00944070"/>
    <w:rsid w:val="009A10E5"/>
    <w:rsid w:val="009B32F1"/>
    <w:rsid w:val="009B6D49"/>
    <w:rsid w:val="009C6565"/>
    <w:rsid w:val="009E212C"/>
    <w:rsid w:val="00A21F06"/>
    <w:rsid w:val="00A25CD3"/>
    <w:rsid w:val="00A30F6A"/>
    <w:rsid w:val="00A45D0B"/>
    <w:rsid w:val="00A54FDF"/>
    <w:rsid w:val="00A55F63"/>
    <w:rsid w:val="00A605D6"/>
    <w:rsid w:val="00A74F5D"/>
    <w:rsid w:val="00A83BB5"/>
    <w:rsid w:val="00A84A22"/>
    <w:rsid w:val="00A93133"/>
    <w:rsid w:val="00A966DD"/>
    <w:rsid w:val="00B224EC"/>
    <w:rsid w:val="00B51187"/>
    <w:rsid w:val="00B6388C"/>
    <w:rsid w:val="00B83D72"/>
    <w:rsid w:val="00B84D6C"/>
    <w:rsid w:val="00B872A8"/>
    <w:rsid w:val="00BA0FA9"/>
    <w:rsid w:val="00BA4C04"/>
    <w:rsid w:val="00BA592C"/>
    <w:rsid w:val="00BD54C5"/>
    <w:rsid w:val="00BF3A32"/>
    <w:rsid w:val="00C12A23"/>
    <w:rsid w:val="00C165C9"/>
    <w:rsid w:val="00C2111C"/>
    <w:rsid w:val="00C23B4F"/>
    <w:rsid w:val="00C66441"/>
    <w:rsid w:val="00C70784"/>
    <w:rsid w:val="00CB7BD9"/>
    <w:rsid w:val="00CC76D0"/>
    <w:rsid w:val="00CD1063"/>
    <w:rsid w:val="00CD3E98"/>
    <w:rsid w:val="00D01FAB"/>
    <w:rsid w:val="00D14510"/>
    <w:rsid w:val="00D41FF9"/>
    <w:rsid w:val="00D5745D"/>
    <w:rsid w:val="00DB2B73"/>
    <w:rsid w:val="00DB5192"/>
    <w:rsid w:val="00DB53D4"/>
    <w:rsid w:val="00DB7AED"/>
    <w:rsid w:val="00DC72AB"/>
    <w:rsid w:val="00DD2CF4"/>
    <w:rsid w:val="00DD553C"/>
    <w:rsid w:val="00DF58A9"/>
    <w:rsid w:val="00E33836"/>
    <w:rsid w:val="00E36340"/>
    <w:rsid w:val="00E50AEF"/>
    <w:rsid w:val="00E51182"/>
    <w:rsid w:val="00E607EE"/>
    <w:rsid w:val="00E61C7D"/>
    <w:rsid w:val="00E76B7E"/>
    <w:rsid w:val="00E80A00"/>
    <w:rsid w:val="00E932F8"/>
    <w:rsid w:val="00E967AB"/>
    <w:rsid w:val="00EA0EF3"/>
    <w:rsid w:val="00EB280B"/>
    <w:rsid w:val="00EC54A3"/>
    <w:rsid w:val="00EC7FC3"/>
    <w:rsid w:val="00ED2457"/>
    <w:rsid w:val="00ED7626"/>
    <w:rsid w:val="00EF79E3"/>
    <w:rsid w:val="00F04788"/>
    <w:rsid w:val="00F35035"/>
    <w:rsid w:val="00F54CBF"/>
    <w:rsid w:val="00F61AF1"/>
    <w:rsid w:val="00F679BB"/>
    <w:rsid w:val="00F71F80"/>
    <w:rsid w:val="00F760B8"/>
    <w:rsid w:val="00F8146E"/>
    <w:rsid w:val="00F83B75"/>
    <w:rsid w:val="00F95634"/>
    <w:rsid w:val="00F96095"/>
    <w:rsid w:val="00F97636"/>
    <w:rsid w:val="00FB439F"/>
    <w:rsid w:val="00FB5B05"/>
    <w:rsid w:val="00FD18AD"/>
    <w:rsid w:val="00FE6C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A661B"/>
  <w15:chartTrackingRefBased/>
  <w15:docId w15:val="{4ABF4DE2-4539-4CC9-9AA5-EE26CF032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A2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84A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84A22"/>
    <w:pPr>
      <w:pBdr>
        <w:top w:val="none" w:sz="0" w:space="0" w:color="auto"/>
      </w:pBdr>
      <w:spacing w:before="180"/>
      <w:outlineLvl w:val="1"/>
    </w:pPr>
    <w:rPr>
      <w:sz w:val="32"/>
    </w:rPr>
  </w:style>
  <w:style w:type="paragraph" w:styleId="Heading3">
    <w:name w:val="heading 3"/>
    <w:basedOn w:val="Heading2"/>
    <w:next w:val="Normal"/>
    <w:qFormat/>
    <w:rsid w:val="00A84A22"/>
    <w:pPr>
      <w:spacing w:before="120"/>
      <w:outlineLvl w:val="2"/>
    </w:pPr>
    <w:rPr>
      <w:sz w:val="28"/>
    </w:rPr>
  </w:style>
  <w:style w:type="paragraph" w:styleId="Heading4">
    <w:name w:val="heading 4"/>
    <w:basedOn w:val="Heading3"/>
    <w:next w:val="Normal"/>
    <w:qFormat/>
    <w:rsid w:val="00A84A22"/>
    <w:pPr>
      <w:ind w:left="1418" w:hanging="1418"/>
      <w:outlineLvl w:val="3"/>
    </w:pPr>
    <w:rPr>
      <w:sz w:val="24"/>
    </w:rPr>
  </w:style>
  <w:style w:type="paragraph" w:styleId="Heading5">
    <w:name w:val="heading 5"/>
    <w:basedOn w:val="Heading4"/>
    <w:next w:val="Normal"/>
    <w:qFormat/>
    <w:rsid w:val="00A84A22"/>
    <w:pPr>
      <w:ind w:left="1701" w:hanging="1701"/>
      <w:outlineLvl w:val="4"/>
    </w:pPr>
    <w:rPr>
      <w:sz w:val="22"/>
    </w:rPr>
  </w:style>
  <w:style w:type="paragraph" w:styleId="Heading6">
    <w:name w:val="heading 6"/>
    <w:basedOn w:val="H6"/>
    <w:next w:val="Normal"/>
    <w:qFormat/>
    <w:rsid w:val="00A84A22"/>
    <w:pPr>
      <w:outlineLvl w:val="5"/>
    </w:pPr>
  </w:style>
  <w:style w:type="paragraph" w:styleId="Heading7">
    <w:name w:val="heading 7"/>
    <w:basedOn w:val="H6"/>
    <w:next w:val="Normal"/>
    <w:qFormat/>
    <w:rsid w:val="00A84A22"/>
    <w:pPr>
      <w:outlineLvl w:val="6"/>
    </w:pPr>
  </w:style>
  <w:style w:type="paragraph" w:styleId="Heading8">
    <w:name w:val="heading 8"/>
    <w:basedOn w:val="Heading1"/>
    <w:next w:val="Normal"/>
    <w:qFormat/>
    <w:rsid w:val="00A84A22"/>
    <w:pPr>
      <w:ind w:left="0" w:firstLine="0"/>
      <w:outlineLvl w:val="7"/>
    </w:pPr>
  </w:style>
  <w:style w:type="paragraph" w:styleId="Heading9">
    <w:name w:val="heading 9"/>
    <w:basedOn w:val="Heading8"/>
    <w:next w:val="Normal"/>
    <w:qFormat/>
    <w:rsid w:val="00A84A22"/>
    <w:pPr>
      <w:outlineLvl w:val="8"/>
    </w:pPr>
  </w:style>
  <w:style w:type="character" w:default="1" w:styleId="DefaultParagraphFont">
    <w:name w:val="Default Paragraph Font"/>
    <w:semiHidden/>
    <w:rsid w:val="00A84A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A22"/>
  </w:style>
  <w:style w:type="paragraph" w:styleId="TOC8">
    <w:name w:val="toc 8"/>
    <w:basedOn w:val="TOC1"/>
    <w:semiHidden/>
    <w:rsid w:val="00A84A22"/>
    <w:pPr>
      <w:spacing w:before="180"/>
      <w:ind w:left="2693" w:hanging="2693"/>
    </w:pPr>
    <w:rPr>
      <w:b/>
    </w:rPr>
  </w:style>
  <w:style w:type="paragraph" w:styleId="TOC1">
    <w:name w:val="toc 1"/>
    <w:semiHidden/>
    <w:rsid w:val="00A84A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84A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84A22"/>
    <w:pPr>
      <w:ind w:left="1701" w:hanging="1701"/>
    </w:pPr>
  </w:style>
  <w:style w:type="paragraph" w:styleId="TOC4">
    <w:name w:val="toc 4"/>
    <w:basedOn w:val="TOC3"/>
    <w:semiHidden/>
    <w:rsid w:val="00A84A22"/>
    <w:pPr>
      <w:ind w:left="1418" w:hanging="1418"/>
    </w:pPr>
  </w:style>
  <w:style w:type="paragraph" w:styleId="TOC3">
    <w:name w:val="toc 3"/>
    <w:basedOn w:val="TOC2"/>
    <w:semiHidden/>
    <w:rsid w:val="00A84A22"/>
    <w:pPr>
      <w:ind w:left="1134" w:hanging="1134"/>
    </w:pPr>
  </w:style>
  <w:style w:type="paragraph" w:styleId="TOC2">
    <w:name w:val="toc 2"/>
    <w:basedOn w:val="TOC1"/>
    <w:semiHidden/>
    <w:rsid w:val="00A84A22"/>
    <w:pPr>
      <w:keepNext w:val="0"/>
      <w:spacing w:before="0"/>
      <w:ind w:left="851" w:hanging="851"/>
    </w:pPr>
    <w:rPr>
      <w:sz w:val="20"/>
    </w:rPr>
  </w:style>
  <w:style w:type="paragraph" w:styleId="Index2">
    <w:name w:val="index 2"/>
    <w:basedOn w:val="Index1"/>
    <w:semiHidden/>
    <w:rsid w:val="00A84A22"/>
    <w:pPr>
      <w:ind w:left="284"/>
    </w:pPr>
  </w:style>
  <w:style w:type="paragraph" w:styleId="Index1">
    <w:name w:val="index 1"/>
    <w:basedOn w:val="Normal"/>
    <w:semiHidden/>
    <w:rsid w:val="00A84A22"/>
    <w:pPr>
      <w:keepLines/>
      <w:spacing w:after="0"/>
    </w:pPr>
  </w:style>
  <w:style w:type="paragraph" w:customStyle="1" w:styleId="ZH">
    <w:name w:val="ZH"/>
    <w:rsid w:val="00A84A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84A22"/>
    <w:pPr>
      <w:outlineLvl w:val="9"/>
    </w:pPr>
  </w:style>
  <w:style w:type="paragraph" w:styleId="ListNumber2">
    <w:name w:val="List Number 2"/>
    <w:basedOn w:val="ListNumber"/>
    <w:semiHidden/>
    <w:rsid w:val="00A84A22"/>
    <w:pPr>
      <w:ind w:left="851"/>
    </w:pPr>
  </w:style>
  <w:style w:type="paragraph" w:styleId="Header">
    <w:name w:val="header"/>
    <w:semiHidden/>
    <w:rsid w:val="00A84A2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84A22"/>
    <w:rPr>
      <w:b/>
      <w:position w:val="6"/>
      <w:sz w:val="16"/>
    </w:rPr>
  </w:style>
  <w:style w:type="paragraph" w:styleId="FootnoteText">
    <w:name w:val="footnote text"/>
    <w:basedOn w:val="Normal"/>
    <w:semiHidden/>
    <w:rsid w:val="00A84A22"/>
    <w:pPr>
      <w:keepLines/>
      <w:spacing w:after="0"/>
      <w:ind w:left="454" w:hanging="454"/>
    </w:pPr>
    <w:rPr>
      <w:sz w:val="16"/>
    </w:rPr>
  </w:style>
  <w:style w:type="paragraph" w:customStyle="1" w:styleId="TAH">
    <w:name w:val="TAH"/>
    <w:basedOn w:val="TAC"/>
    <w:link w:val="TAHCar"/>
    <w:rsid w:val="00A84A22"/>
    <w:rPr>
      <w:b/>
    </w:rPr>
  </w:style>
  <w:style w:type="paragraph" w:customStyle="1" w:styleId="TAC">
    <w:name w:val="TAC"/>
    <w:basedOn w:val="TAL"/>
    <w:link w:val="TACChar"/>
    <w:rsid w:val="00A84A22"/>
    <w:pPr>
      <w:jc w:val="center"/>
    </w:pPr>
  </w:style>
  <w:style w:type="paragraph" w:customStyle="1" w:styleId="TF">
    <w:name w:val="TF"/>
    <w:basedOn w:val="TH"/>
    <w:rsid w:val="00A84A22"/>
    <w:pPr>
      <w:keepNext w:val="0"/>
      <w:spacing w:before="0" w:after="240"/>
    </w:pPr>
  </w:style>
  <w:style w:type="paragraph" w:customStyle="1" w:styleId="NO">
    <w:name w:val="NO"/>
    <w:basedOn w:val="Normal"/>
    <w:rsid w:val="00A84A22"/>
    <w:pPr>
      <w:keepLines/>
      <w:ind w:left="1135" w:hanging="851"/>
    </w:pPr>
  </w:style>
  <w:style w:type="paragraph" w:styleId="TOC9">
    <w:name w:val="toc 9"/>
    <w:basedOn w:val="TOC8"/>
    <w:semiHidden/>
    <w:rsid w:val="00A84A22"/>
    <w:pPr>
      <w:ind w:left="1418" w:hanging="1418"/>
    </w:pPr>
  </w:style>
  <w:style w:type="paragraph" w:customStyle="1" w:styleId="EX">
    <w:name w:val="EX"/>
    <w:basedOn w:val="Normal"/>
    <w:rsid w:val="00A84A22"/>
    <w:pPr>
      <w:keepLines/>
      <w:ind w:left="1702" w:hanging="1418"/>
    </w:pPr>
  </w:style>
  <w:style w:type="paragraph" w:customStyle="1" w:styleId="FP">
    <w:name w:val="FP"/>
    <w:basedOn w:val="Normal"/>
    <w:rsid w:val="00A84A22"/>
    <w:pPr>
      <w:spacing w:after="0"/>
    </w:pPr>
  </w:style>
  <w:style w:type="paragraph" w:customStyle="1" w:styleId="LD">
    <w:name w:val="LD"/>
    <w:rsid w:val="00A84A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84A22"/>
    <w:pPr>
      <w:spacing w:after="0"/>
    </w:pPr>
  </w:style>
  <w:style w:type="paragraph" w:customStyle="1" w:styleId="EW">
    <w:name w:val="EW"/>
    <w:basedOn w:val="EX"/>
    <w:rsid w:val="00A84A22"/>
    <w:pPr>
      <w:spacing w:after="0"/>
    </w:pPr>
  </w:style>
  <w:style w:type="paragraph" w:styleId="TOC6">
    <w:name w:val="toc 6"/>
    <w:basedOn w:val="TOC5"/>
    <w:next w:val="Normal"/>
    <w:semiHidden/>
    <w:rsid w:val="00A84A22"/>
    <w:pPr>
      <w:ind w:left="1985" w:hanging="1985"/>
    </w:pPr>
  </w:style>
  <w:style w:type="paragraph" w:styleId="TOC7">
    <w:name w:val="toc 7"/>
    <w:basedOn w:val="TOC6"/>
    <w:next w:val="Normal"/>
    <w:semiHidden/>
    <w:rsid w:val="00A84A22"/>
    <w:pPr>
      <w:ind w:left="2268" w:hanging="2268"/>
    </w:pPr>
  </w:style>
  <w:style w:type="paragraph" w:styleId="ListBullet2">
    <w:name w:val="List Bullet 2"/>
    <w:basedOn w:val="ListBullet"/>
    <w:semiHidden/>
    <w:rsid w:val="00A84A22"/>
    <w:pPr>
      <w:ind w:left="851"/>
    </w:pPr>
  </w:style>
  <w:style w:type="paragraph" w:styleId="ListBullet3">
    <w:name w:val="List Bullet 3"/>
    <w:basedOn w:val="ListBullet2"/>
    <w:semiHidden/>
    <w:rsid w:val="00A84A22"/>
    <w:pPr>
      <w:ind w:left="1135"/>
    </w:pPr>
  </w:style>
  <w:style w:type="paragraph" w:styleId="ListNumber">
    <w:name w:val="List Number"/>
    <w:basedOn w:val="List"/>
    <w:semiHidden/>
    <w:rsid w:val="00A84A22"/>
  </w:style>
  <w:style w:type="paragraph" w:customStyle="1" w:styleId="EQ">
    <w:name w:val="EQ"/>
    <w:basedOn w:val="Normal"/>
    <w:next w:val="Normal"/>
    <w:rsid w:val="00A84A22"/>
    <w:pPr>
      <w:keepLines/>
      <w:tabs>
        <w:tab w:val="center" w:pos="4536"/>
        <w:tab w:val="right" w:pos="9072"/>
      </w:tabs>
    </w:pPr>
    <w:rPr>
      <w:noProof/>
    </w:rPr>
  </w:style>
  <w:style w:type="paragraph" w:customStyle="1" w:styleId="TH">
    <w:name w:val="TH"/>
    <w:basedOn w:val="Normal"/>
    <w:rsid w:val="00A84A22"/>
    <w:pPr>
      <w:keepNext/>
      <w:keepLines/>
      <w:spacing w:before="60"/>
      <w:jc w:val="center"/>
    </w:pPr>
    <w:rPr>
      <w:rFonts w:ascii="Arial" w:hAnsi="Arial"/>
      <w:b/>
    </w:rPr>
  </w:style>
  <w:style w:type="paragraph" w:customStyle="1" w:styleId="NF">
    <w:name w:val="NF"/>
    <w:basedOn w:val="NO"/>
    <w:rsid w:val="00A84A22"/>
    <w:pPr>
      <w:keepNext/>
      <w:spacing w:after="0"/>
    </w:pPr>
    <w:rPr>
      <w:rFonts w:ascii="Arial" w:hAnsi="Arial"/>
      <w:sz w:val="18"/>
    </w:rPr>
  </w:style>
  <w:style w:type="paragraph" w:customStyle="1" w:styleId="PL">
    <w:name w:val="PL"/>
    <w:rsid w:val="00A84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A22"/>
    <w:pPr>
      <w:jc w:val="right"/>
    </w:pPr>
  </w:style>
  <w:style w:type="paragraph" w:customStyle="1" w:styleId="H6">
    <w:name w:val="H6"/>
    <w:basedOn w:val="Heading5"/>
    <w:next w:val="Normal"/>
    <w:rsid w:val="00A84A22"/>
    <w:pPr>
      <w:ind w:left="1985" w:hanging="1985"/>
      <w:outlineLvl w:val="9"/>
    </w:pPr>
    <w:rPr>
      <w:sz w:val="20"/>
    </w:rPr>
  </w:style>
  <w:style w:type="paragraph" w:customStyle="1" w:styleId="TAN">
    <w:name w:val="TAN"/>
    <w:basedOn w:val="TAL"/>
    <w:link w:val="TANChar"/>
    <w:rsid w:val="00A84A22"/>
    <w:pPr>
      <w:ind w:left="851" w:hanging="851"/>
    </w:pPr>
  </w:style>
  <w:style w:type="paragraph" w:customStyle="1" w:styleId="TAL">
    <w:name w:val="TAL"/>
    <w:basedOn w:val="Normal"/>
    <w:rsid w:val="00A84A22"/>
    <w:pPr>
      <w:keepNext/>
      <w:keepLines/>
      <w:spacing w:after="0"/>
    </w:pPr>
    <w:rPr>
      <w:rFonts w:ascii="Arial" w:hAnsi="Arial"/>
      <w:sz w:val="18"/>
    </w:rPr>
  </w:style>
  <w:style w:type="paragraph" w:customStyle="1" w:styleId="ZA">
    <w:name w:val="ZA"/>
    <w:rsid w:val="00A84A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A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A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84A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A22"/>
    <w:pPr>
      <w:framePr w:wrap="notBeside" w:y="16161"/>
    </w:pPr>
  </w:style>
  <w:style w:type="character" w:customStyle="1" w:styleId="ZGSM">
    <w:name w:val="ZGSM"/>
    <w:rsid w:val="00A84A22"/>
  </w:style>
  <w:style w:type="paragraph" w:styleId="List2">
    <w:name w:val="List 2"/>
    <w:basedOn w:val="List"/>
    <w:semiHidden/>
    <w:rsid w:val="00A84A22"/>
    <w:pPr>
      <w:ind w:left="851"/>
    </w:pPr>
  </w:style>
  <w:style w:type="paragraph" w:customStyle="1" w:styleId="ZG">
    <w:name w:val="ZG"/>
    <w:rsid w:val="00A84A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84A22"/>
    <w:pPr>
      <w:ind w:left="1135"/>
    </w:pPr>
  </w:style>
  <w:style w:type="paragraph" w:styleId="List4">
    <w:name w:val="List 4"/>
    <w:basedOn w:val="List3"/>
    <w:semiHidden/>
    <w:rsid w:val="00A84A22"/>
    <w:pPr>
      <w:ind w:left="1418"/>
    </w:pPr>
  </w:style>
  <w:style w:type="paragraph" w:styleId="List5">
    <w:name w:val="List 5"/>
    <w:basedOn w:val="List4"/>
    <w:semiHidden/>
    <w:rsid w:val="00A84A22"/>
    <w:pPr>
      <w:ind w:left="1702"/>
    </w:pPr>
  </w:style>
  <w:style w:type="paragraph" w:customStyle="1" w:styleId="EditorsNote">
    <w:name w:val="Editor's Note"/>
    <w:basedOn w:val="NO"/>
    <w:rsid w:val="00A84A22"/>
    <w:rPr>
      <w:color w:val="FF0000"/>
    </w:rPr>
  </w:style>
  <w:style w:type="paragraph" w:styleId="List">
    <w:name w:val="List"/>
    <w:basedOn w:val="Normal"/>
    <w:semiHidden/>
    <w:rsid w:val="00A84A22"/>
    <w:pPr>
      <w:ind w:left="568" w:hanging="284"/>
    </w:pPr>
  </w:style>
  <w:style w:type="paragraph" w:styleId="ListBullet">
    <w:name w:val="List Bullet"/>
    <w:basedOn w:val="List"/>
    <w:semiHidden/>
    <w:rsid w:val="00A84A22"/>
  </w:style>
  <w:style w:type="paragraph" w:styleId="ListBullet4">
    <w:name w:val="List Bullet 4"/>
    <w:basedOn w:val="ListBullet3"/>
    <w:semiHidden/>
    <w:rsid w:val="00A84A22"/>
    <w:pPr>
      <w:ind w:left="1418"/>
    </w:pPr>
  </w:style>
  <w:style w:type="paragraph" w:styleId="ListBullet5">
    <w:name w:val="List Bullet 5"/>
    <w:basedOn w:val="ListBullet4"/>
    <w:semiHidden/>
    <w:rsid w:val="00A84A22"/>
    <w:pPr>
      <w:ind w:left="1702"/>
    </w:pPr>
  </w:style>
  <w:style w:type="paragraph" w:customStyle="1" w:styleId="B1">
    <w:name w:val="B1"/>
    <w:basedOn w:val="List"/>
    <w:rsid w:val="00A84A22"/>
  </w:style>
  <w:style w:type="paragraph" w:customStyle="1" w:styleId="B2">
    <w:name w:val="B2"/>
    <w:basedOn w:val="List2"/>
    <w:rsid w:val="00A84A22"/>
  </w:style>
  <w:style w:type="paragraph" w:customStyle="1" w:styleId="B3">
    <w:name w:val="B3"/>
    <w:basedOn w:val="List3"/>
    <w:rsid w:val="00A84A22"/>
  </w:style>
  <w:style w:type="paragraph" w:customStyle="1" w:styleId="B4">
    <w:name w:val="B4"/>
    <w:basedOn w:val="List4"/>
    <w:rsid w:val="00A84A22"/>
  </w:style>
  <w:style w:type="paragraph" w:customStyle="1" w:styleId="B5">
    <w:name w:val="B5"/>
    <w:basedOn w:val="List5"/>
    <w:rsid w:val="00A84A22"/>
  </w:style>
  <w:style w:type="paragraph" w:styleId="Footer">
    <w:name w:val="footer"/>
    <w:basedOn w:val="Header"/>
    <w:semiHidden/>
    <w:rsid w:val="00A84A22"/>
    <w:pPr>
      <w:jc w:val="center"/>
    </w:pPr>
    <w:rPr>
      <w:i/>
    </w:rPr>
  </w:style>
  <w:style w:type="paragraph" w:customStyle="1" w:styleId="ZTD">
    <w:name w:val="ZTD"/>
    <w:basedOn w:val="ZB"/>
    <w:rsid w:val="00A84A22"/>
    <w:pPr>
      <w:framePr w:hRule="auto" w:wrap="notBeside" w:y="852"/>
    </w:pPr>
    <w:rPr>
      <w:i w:val="0"/>
      <w:sz w:val="40"/>
    </w:rPr>
  </w:style>
  <w:style w:type="paragraph" w:styleId="NoSpacing">
    <w:name w:val="No Spacing"/>
    <w:uiPriority w:val="1"/>
    <w:qFormat/>
    <w:rsid w:val="000611C6"/>
    <w:rPr>
      <w:rFonts w:ascii="Times New Roman" w:hAnsi="Times New Roman"/>
      <w:lang w:val="en-US" w:eastAsia="en-US"/>
    </w:rPr>
  </w:style>
  <w:style w:type="paragraph" w:styleId="BodyText">
    <w:name w:val="Body Text"/>
    <w:aliases w:val="bt"/>
    <w:basedOn w:val="Normal"/>
    <w:link w:val="BodyTextChar"/>
    <w:rsid w:val="000611C6"/>
    <w:pPr>
      <w:spacing w:after="120"/>
      <w:jc w:val="both"/>
    </w:pPr>
    <w:rPr>
      <w:rFonts w:ascii="Times" w:eastAsia="SimSun" w:hAnsi="Times"/>
      <w:szCs w:val="24"/>
      <w:lang w:val="en-US" w:eastAsia="en-US"/>
    </w:rPr>
  </w:style>
  <w:style w:type="character" w:customStyle="1" w:styleId="BodyTextChar">
    <w:name w:val="Body Text Char"/>
    <w:aliases w:val="bt Char"/>
    <w:basedOn w:val="DefaultParagraphFont"/>
    <w:link w:val="BodyText"/>
    <w:rsid w:val="000611C6"/>
    <w:rPr>
      <w:rFonts w:ascii="Times" w:eastAsia="SimSun" w:hAnsi="Times"/>
      <w:szCs w:val="24"/>
      <w:lang w:val="en-US" w:eastAsia="en-US"/>
    </w:rPr>
  </w:style>
  <w:style w:type="paragraph" w:styleId="ListParagraph">
    <w:name w:val="List Paragraph"/>
    <w:basedOn w:val="Normal"/>
    <w:uiPriority w:val="34"/>
    <w:qFormat/>
    <w:rsid w:val="00F61AF1"/>
    <w:pPr>
      <w:ind w:left="720"/>
      <w:contextualSpacing/>
    </w:pPr>
  </w:style>
  <w:style w:type="paragraph" w:styleId="Caption">
    <w:name w:val="caption"/>
    <w:basedOn w:val="Normal"/>
    <w:next w:val="Normal"/>
    <w:uiPriority w:val="35"/>
    <w:unhideWhenUsed/>
    <w:qFormat/>
    <w:rsid w:val="0055097D"/>
    <w:rPr>
      <w:b/>
      <w:bCs/>
    </w:rPr>
  </w:style>
  <w:style w:type="table" w:styleId="TableGrid">
    <w:name w:val="Table Grid"/>
    <w:basedOn w:val="TableNormal"/>
    <w:uiPriority w:val="39"/>
    <w:rsid w:val="00EA0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5D0B"/>
    <w:rPr>
      <w:rFonts w:ascii="Times New Roman" w:hAnsi="Times New Roman"/>
    </w:rPr>
  </w:style>
  <w:style w:type="character" w:customStyle="1" w:styleId="TACChar">
    <w:name w:val="TAC Char"/>
    <w:link w:val="TAC"/>
    <w:qFormat/>
    <w:rsid w:val="00253847"/>
    <w:rPr>
      <w:rFonts w:ascii="Arial" w:hAnsi="Arial"/>
      <w:sz w:val="18"/>
    </w:rPr>
  </w:style>
  <w:style w:type="character" w:customStyle="1" w:styleId="TAHCar">
    <w:name w:val="TAH Car"/>
    <w:link w:val="TAH"/>
    <w:qFormat/>
    <w:rsid w:val="00253847"/>
    <w:rPr>
      <w:rFonts w:ascii="Arial" w:hAnsi="Arial"/>
      <w:b/>
      <w:sz w:val="18"/>
    </w:rPr>
  </w:style>
  <w:style w:type="character" w:customStyle="1" w:styleId="TANChar">
    <w:name w:val="TAN Char"/>
    <w:link w:val="TAN"/>
    <w:qFormat/>
    <w:rsid w:val="0025384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71426">
      <w:bodyDiv w:val="1"/>
      <w:marLeft w:val="0"/>
      <w:marRight w:val="0"/>
      <w:marTop w:val="0"/>
      <w:marBottom w:val="0"/>
      <w:divBdr>
        <w:top w:val="none" w:sz="0" w:space="0" w:color="auto"/>
        <w:left w:val="none" w:sz="0" w:space="0" w:color="auto"/>
        <w:bottom w:val="none" w:sz="0" w:space="0" w:color="auto"/>
        <w:right w:val="none" w:sz="0" w:space="0" w:color="auto"/>
      </w:divBdr>
      <w:divsChild>
        <w:div w:id="824593040">
          <w:marLeft w:val="0"/>
          <w:marRight w:val="0"/>
          <w:marTop w:val="0"/>
          <w:marBottom w:val="0"/>
          <w:divBdr>
            <w:top w:val="none" w:sz="0" w:space="0" w:color="auto"/>
            <w:left w:val="none" w:sz="0" w:space="0" w:color="auto"/>
            <w:bottom w:val="none" w:sz="0" w:space="0" w:color="auto"/>
            <w:right w:val="none" w:sz="0" w:space="0" w:color="auto"/>
          </w:divBdr>
          <w:divsChild>
            <w:div w:id="122120107">
              <w:marLeft w:val="0"/>
              <w:marRight w:val="0"/>
              <w:marTop w:val="0"/>
              <w:marBottom w:val="0"/>
              <w:divBdr>
                <w:top w:val="none" w:sz="0" w:space="0" w:color="auto"/>
                <w:left w:val="none" w:sz="0" w:space="0" w:color="auto"/>
                <w:bottom w:val="none" w:sz="0" w:space="0" w:color="auto"/>
                <w:right w:val="none" w:sz="0" w:space="0" w:color="auto"/>
              </w:divBdr>
            </w:div>
          </w:divsChild>
        </w:div>
        <w:div w:id="1119302293">
          <w:marLeft w:val="0"/>
          <w:marRight w:val="75"/>
          <w:marTop w:val="0"/>
          <w:marBottom w:val="0"/>
          <w:divBdr>
            <w:top w:val="none" w:sz="0" w:space="0" w:color="auto"/>
            <w:left w:val="none" w:sz="0" w:space="0" w:color="auto"/>
            <w:bottom w:val="none" w:sz="0" w:space="0" w:color="auto"/>
            <w:right w:val="none" w:sz="0" w:space="0" w:color="auto"/>
          </w:divBdr>
        </w:div>
      </w:divsChild>
    </w:div>
    <w:div w:id="328289536">
      <w:bodyDiv w:val="1"/>
      <w:marLeft w:val="0"/>
      <w:marRight w:val="0"/>
      <w:marTop w:val="0"/>
      <w:marBottom w:val="0"/>
      <w:divBdr>
        <w:top w:val="none" w:sz="0" w:space="0" w:color="auto"/>
        <w:left w:val="none" w:sz="0" w:space="0" w:color="auto"/>
        <w:bottom w:val="none" w:sz="0" w:space="0" w:color="auto"/>
        <w:right w:val="none" w:sz="0" w:space="0" w:color="auto"/>
      </w:divBdr>
    </w:div>
    <w:div w:id="1062486637">
      <w:bodyDiv w:val="1"/>
      <w:marLeft w:val="0"/>
      <w:marRight w:val="0"/>
      <w:marTop w:val="0"/>
      <w:marBottom w:val="0"/>
      <w:divBdr>
        <w:top w:val="none" w:sz="0" w:space="0" w:color="auto"/>
        <w:left w:val="none" w:sz="0" w:space="0" w:color="auto"/>
        <w:bottom w:val="none" w:sz="0" w:space="0" w:color="auto"/>
        <w:right w:val="none" w:sz="0" w:space="0" w:color="auto"/>
      </w:divBdr>
      <w:divsChild>
        <w:div w:id="602808853">
          <w:marLeft w:val="0"/>
          <w:marRight w:val="75"/>
          <w:marTop w:val="0"/>
          <w:marBottom w:val="0"/>
          <w:divBdr>
            <w:top w:val="none" w:sz="0" w:space="0" w:color="auto"/>
            <w:left w:val="none" w:sz="0" w:space="0" w:color="auto"/>
            <w:bottom w:val="none" w:sz="0" w:space="0" w:color="auto"/>
            <w:right w:val="none" w:sz="0" w:space="0" w:color="auto"/>
          </w:divBdr>
        </w:div>
        <w:div w:id="1876313568">
          <w:marLeft w:val="0"/>
          <w:marRight w:val="0"/>
          <w:marTop w:val="0"/>
          <w:marBottom w:val="0"/>
          <w:divBdr>
            <w:top w:val="none" w:sz="0" w:space="0" w:color="auto"/>
            <w:left w:val="none" w:sz="0" w:space="0" w:color="auto"/>
            <w:bottom w:val="none" w:sz="0" w:space="0" w:color="auto"/>
            <w:right w:val="none" w:sz="0" w:space="0" w:color="auto"/>
          </w:divBdr>
          <w:divsChild>
            <w:div w:id="150497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Mis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05096D-773F-4C5D-A1FF-51EDCDC9A3B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ED012F14-1A12-4E8F-A673-623AD1C9104F}">
  <ds:schemaRefs>
    <ds:schemaRef ds:uri="http://schemas.openxmlformats.org/officeDocument/2006/bibliography"/>
  </ds:schemaRefs>
</ds:datastoreItem>
</file>

<file path=customXml/itemProps3.xml><?xml version="1.0" encoding="utf-8"?>
<ds:datastoreItem xmlns:ds="http://schemas.openxmlformats.org/officeDocument/2006/customXml" ds:itemID="{AAD71EB0-96B6-4102-8241-1FCF105F38C2}">
  <ds:schemaRefs>
    <ds:schemaRef ds:uri="http://schemas.microsoft.com/sharepoint/v3/contenttype/forms"/>
  </ds:schemaRefs>
</ds:datastoreItem>
</file>

<file path=customXml/itemProps4.xml><?xml version="1.0" encoding="utf-8"?>
<ds:datastoreItem xmlns:ds="http://schemas.openxmlformats.org/officeDocument/2006/customXml" ds:itemID="{A629DED8-60D6-4111-A6A2-6C4FD4F29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2084</Words>
  <Characters>11879</Characters>
  <Application>Microsoft Office Word</Application>
  <DocSecurity>4</DocSecurity>
  <Lines>98</Lines>
  <Paragraphs>27</Paragraphs>
  <ScaleCrop>false</ScaleCrop>
  <Company>ETSI Sophia Antipolis</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Luca Lodigiani</cp:lastModifiedBy>
  <cp:revision>22</cp:revision>
  <cp:lastPrinted>1900-01-01T00:00:00Z</cp:lastPrinted>
  <dcterms:created xsi:type="dcterms:W3CDTF">2024-10-07T16:32:00Z</dcterms:created>
  <dcterms:modified xsi:type="dcterms:W3CDTF">2024-10-07T16:58:00Z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